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cs="Calibri" w:eastAsia="Calibri"/>
          <w:b/>
          <w:i w:val="0"/>
          <w:color w:val="0B3A5B"/>
          <w:sz w:val="20"/>
          <w:spacing w:val="60"/>
        </w:rPr>
        <w:t>CITHORUM</w:t>
      </w:r>
    </w:p>
    <w:p>
      <w:r>
        <w:rPr>
          <w:rFonts w:ascii="Calibri" w:hAnsi="Calibri" w:cs="Calibri" w:eastAsia="Calibri"/>
          <w:b/>
          <w:i w:val="0"/>
          <w:color w:val="0B3A5B"/>
          <w:sz w:val="44"/>
        </w:rPr>
        <w:t>Cithorum · Jam + KG Infrastructure Roadmap</w:t>
      </w:r>
    </w:p>
    <w:p>
      <w:r>
        <w:rPr>
          <w:rFonts w:ascii="Calibri" w:hAnsi="Calibri" w:cs="Calibri" w:eastAsia="Calibri"/>
          <w:b w:val="0"/>
          <w:i/>
          <w:color w:val="33404D"/>
          <w:sz w:val="24"/>
        </w:rPr>
        <w:t>A phased plan for the 1 PB Jam proof environment, Jam Deploy revenue route, hosted Cithorum KG platforms, India data-centre / tender expansion, and the immediate INR 1.25 Cr funding requirement.</w:t>
      </w:r>
    </w:p>
    <w:p>
      <w:r>
        <w:rPr>
          <w:rFonts w:ascii="Calibri" w:hAnsi="Calibri" w:cs="Calibri" w:eastAsia="Calibri"/>
          <w:b w:val="0"/>
          <w:i w:val="0"/>
          <w:color w:val="5B6B77"/>
          <w:sz w:val="18"/>
        </w:rPr>
        <w:t>Investor · Cithorum · May 2026</w:t>
      </w:r>
    </w:p>
    <w:p>
      <w:pPr>
        <w:pBdr>
          <w:bottom w:val="single" w:sz="10" w:space="1" w:color="0B3A5B"/>
        </w:pBdr>
      </w:pPr>
    </w:p>
    <w:p>
      <w:r>
        <w:rPr>
          <w:rFonts w:ascii="Calibri" w:hAnsi="Calibri" w:cs="Calibri" w:eastAsia="Calibri"/>
          <w:b w:val="0"/>
          <w:i/>
          <w:color w:val="33404D"/>
          <w:sz w:val="21"/>
        </w:rPr>
        <w:t>Prepared for internal founder / partner / investor planning. This is a strategy and operating roadmap, not legal, tax, procurement, or financial advice. Currency figures are planning estimates and should be refreshed before signing investment documents.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0. Entity Structure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Cithorum operates as a brand across three legal entities — a European parent, Cithorum (India), and Cithorum (Canada). Cithorum (India) is registered as an MSE under the Udyam programme. Indian entity legal designation pending ROC filing — Q2 2026.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All Cithorum customer-facing IP and the Jam codec sit under the European parent. Cithorum (India) is the Udyam-registered MSE that holds Indian tenders, work orders, and the 1 PB pod. Cithorum (Canada) is the long-standing operating entity that holds the M2M Tech Connect formal MRR contract and the historical commercial relationships with NVIDIA, Atreides IO, RTX/Supplier.io, T-Mobile, ZenLaunchpad, NATO/UNITE, and SwissVault. Investor-facing equity is at parent level.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Contents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1. Executive summary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2. Strategic architecture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3. Funding plan: INR 1.25 Cr now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4. Break-even model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5. Phase roadmap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6. Milestones (April 2026 update)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7. What we are building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8. Promotion and customer acquisition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9. Investor and financing routes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10. Operating rules, risks, and governance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11. Immediate 14-day plan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12. Open questions for Nikos and Suraj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1. Executive Summary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Cithorum runs one integrated plan with two commercial tracks and one proof engine.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Proof engine: a controlled 1 PB Cithorum Jam Proof Cloud where selected customers run real workloads through Jam and generate measurable benchmark evidence.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Revenue track A — Jam Deploy: installed into customer infrastructure, priced through formal MRR / usage / savings-based contracts. The lowest-capex revenue route; stays alive regardless of the data-centre ambition.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Revenue track B — Hosted Jam storage and KG platforms: initially invite-only and controlled, not a public AWS/Vercel competitor.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Strategic expansion — India tender / work-order route: built on top of the 1 PB pod operated by Cithorum (India). Larger owned/operated capacity follows tenders, not the other way around. Build 10–100 PB only after customer demand, work order, or project finance exists.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Platform outcome: Jam creates cheaper infrastructure; the Knowledge Graph creates the high-margin software layer on top — data-centre ops first, then workspace, law, and medical sequencing.</w:t>
      </w:r>
    </w:p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Post-pivot framing (May 2026)</w:t>
      </w:r>
    </w:p>
    <w:p>
      <w:pPr>
        <w:spacing w:after="80"/>
      </w:pPr>
      <w:r>
        <w:rPr>
          <w:rFonts w:ascii="Calibri" w:hAnsi="Calibri" w:cs="Calibri" w:eastAsia="Calibri"/>
          <w:b w:val="0"/>
          <w:i/>
          <w:sz w:val="21"/>
        </w:rPr>
        <w:t>The April 2026 founder workshop converged on a tender-led commercial model for India: rather than chase generic enterprise SaaS deals, Cithorum (India) bids for state, central, and PSU tenders through e-procurement.gov.in / NIC (beginning with Karnataka's 1,000 MW data-centre policy and the BIRAC ₹24.37 Cr AMR programme). The 1 PB pod operated by Cithorum (India) is the evidence asset. This narrative continues from prior investor materials: the wedge, the substrate thesis, and the four-vertical sequencing are unchanged — the commercial route in India is sharper.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2. Strategic Architecture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The plan is a stack, not a bundle of unrelated ideas.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Layer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Role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First product expression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engine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Compresses, indexes, envelopes, reconstructs, and meters data close to storage or transfer.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Deploy; Jam Proof Cloud; Jam-backed storage.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Telemetry and metering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Records original size, Jam size, ratio, reconstruction status, CPU, throughput, customer usage, and invoice basis.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Savings dashboard; monthly MRR reports; benchmark reports.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Knowledge Graph core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Maps entities, data, customers, workloads, evidence, incidents, workflows, and decisions.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Data-centre ops KG first; then Workspace KG, Law KG, Medical Sequencing KG.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platform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Customer / admin surface for accounts, keys, buckets, dashboards, billing export, reports, and hosted KG workflows.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Proof Cloud portal; deployment admin dashboard; KG app workspace.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Owned / operated infrastructure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Optional scale layer attractive only when Jam proof + tender demand justify capex.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 PB pod live (Cithorum India / Hyderabad); 10–100 PB later only with anchor customer or project finance.</w:t>
            </w:r>
          </w:p>
        </w:tc>
      </w:tr>
    </w:tbl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What this is not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Not an attempt to rebuild AWS, GCP, Azure, or Vercel in the first phase.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Not a generic cheap-storage commodity business.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Not a speculative 100 PB build before customer demand exists.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Not a KG platform detached from infrastructure economics.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3. Funding Plan: INR 1.25 Cr Now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Immediate funding requirement: INR 1.25 Cr. Dr Suraj has confirmed the first INR 50L anchor. The remaining INR 75L should be raised if possible from aligned angels, strategics, customer prepaids, and infrastructure-friendly investors. Any unfunded remainder can be founder/self-funded, but the scope should be staged if the full amount is not secured.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Use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Budget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Purpose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Product + engineering payroll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50L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Proof Cloud build, Jam Deploy packaging, S3-compatible integration, metering, dashboards, KG ops layer, security hardening.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 PB proof environment setup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22L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Server access setup, storage layer, monitoring, backups, networking, remote operations, test data pipeline, hardware spares / ops buffer.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GTM, pilots, tender route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18L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Pilot recruitment, Suraj India route, Karnataka / Keonics / state / bank / education tender prep, targeted outbound, partner / channel work.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Legal, IP, commercial docs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10L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Pilot agreements, MSA / SLA templates, IP protection, three-entity governance, tender docs, customer data terms.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Proof content + investor materials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8L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Demo videos, benchmark one-pagers, data-centre proof site, investor memo / deck refresh, customer case-study design.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Ops tooling + travel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7L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Monitoring, email / domain / security tools, travel to customers / tender channels, demos, founder sales ops.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Contingency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10L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Unexpected infra, legal, or customer-integration costs.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4. Break-Even Model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This is a planning model, not an accounting forecast. It assumes M2M formal MRR is collectible, the team stays lean, and major owned data-centre capex is not started until funded by an anchor customer, tender, or project finance.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Revenue line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Near-term pricing logic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Break-even role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 TechConnect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Formal USD 7K/month MRR booked against Cithorum (Canada).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Baseline credibility and recurring revenue. Planning equivalent ~INR 6L/month; refresh FX before documents.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Deploy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Monthly minimum plus usage / savings-based fee. Target INR 3–15L/month per serious infrastructure customer depending on volume.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Primary path to operating break-even because it avoids hardware capex.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Proof Cloud pilots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Free only for strategic logos. Default paid pilots: INR 50K–2L/month plus setup fee for heavy workloads.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Produces benchmark proof and small revenue; should convert to Jam Deploy or hosted contracts.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Hosted Jam storage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Invite-only S3-compatible storage for selected workloads, bundled with benchmark / reporting. Do not compete on TB price alone.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Useful revenue lane after proof, but not the core company thesis by itself.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KG platforms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Workspace KG, Law KG, Medical Sequencing KG sold as hosted vertical software. Pricing should be enterprise / workflow-based, not storage-only.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Higher-margin expansion after Jam establishes data gravity and trust.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Tender / work order (India)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(India) bids on e-procurement.gov.in / NIC tenders (Karnataka 1,000 MW DC policy; BIRAC ₹24.37 Cr AMR programme).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Can accelerate break-even or fund expansion if secured.</w:t>
            </w:r>
          </w:p>
        </w:tc>
      </w:tr>
    </w:tbl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Likely operating break-even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Scenario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Conditions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Likely timing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Conservative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 collected; 2–3 paid pilots; no major tender; 1–2 small Jam Deploy customers.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12–15.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Base case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 collected; 5–10 pilots; 2–3 paid Jam Deploy customers; lean monthly burn ~INR 12–16L.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8–10.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Fast / anchor case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 collected; one larger infrastructure customer; Atreides-style integration funded; or an India work order / tender covers project cost.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5–7, sometimes earlier on cash basis.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5. Phase Roadmap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Phase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Timing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Main objective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Exit gate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0. Alignment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Now – 2 weeks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Confirm route, funding structure, 1 PB access, pilot criteria, and IP / customer-data rules.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Signed internal plan + Suraj investment terms + proof-cloud architecture.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1. Foundation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0–1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Close initial funding, package demos, formalise M2M revenue reporting, prepare pilot / tender docs.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Funding wired; 3 pilots identified; deployment checklist ready.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2. 1 PB Proof Cloud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1–3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Bring controlled Jam-backed S3 environment online; run first customer datasets.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 PB environment live; 3 benchmark reports drafted; restore verified.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3. Jam Deploy commercialisation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3–6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Convert pilots into paid deployments; scope Atreides / Spark path; build dashboard and billing trust.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12–20L monthly revenue visibility; 5–10 pilots; 2+ paid deployments.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4. Hosted KG + data-centre ops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6–9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Launch internal Data-Centre Ops KG and controlled hosted Cithorum platform layer.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Operating break-even in sight; platform trusted for metering, reports, and ops graph.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5. Vertical KG platforms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9–15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Launch first external KG vertical, then law / medical sequencing by anchor customer priority.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One vertical KG paid design partner; second vertical in design.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6. Scale decision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 12–24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Use proof + revenue + tender pipeline to decide whether to build / operate 10–100 PB capacity.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Anchor customer / work order / project finance secured before capex.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6. Milestones (April 2026 update)</w:t>
      </w:r>
    </w:p>
    <w:p>
      <w:pPr>
        <w:spacing w:after="80"/>
      </w:pPr>
      <w:r>
        <w:rPr>
          <w:rFonts w:ascii="Calibri" w:hAnsi="Calibri" w:cs="Calibri" w:eastAsia="Calibri"/>
          <w:b w:val="0"/>
          <w:i w:val="0"/>
          <w:sz w:val="21"/>
        </w:rPr>
        <w:t>Milestones reflect the post-pivot view. Items marked imminent are within 30 days, subject to Suraj final confirmation; items marked live are operating as of May 2026.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Milestone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Status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Owner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 PB pod (Cithorum India / Hyderabad)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Imminent — Suraj + Lucas + Nikos finalising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(India)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BIRAC AMR programme application — INR 24.37 Cr (recently revised from 21.82 Cr)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Submitted / under review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Suraj + Cithorum (India)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Karnataka 1,000 MW data-centre policy alignment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Engaged — tender-led model under Karnataka policy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(India)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Udyam MSE registration (Cithorum India)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Live / in process per ROC filing schedule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(India)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 Tech Connect formal MRR ($7K/month)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Live — first invoice issued April 2026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(Canada)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NVIDIA Inception membership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Live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(Canada)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NATO BRAVE1 / UNITE-Brave portal access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Live (programme-eligible)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(Canada)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RTX / Supplier.io profile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Approved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(Canada)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T-Mobile corporate-buyer database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Approved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(Canada)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ZenLaunchpad CAD $30K non-dilutive grant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Won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(Canada)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April 2026 100× rsync backup-tier benchmark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Recorded — videopress.com/v/w4Z0jvUC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(Canada)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Atreides Spark integration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 flight — workstream candidate for next funded sprint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Engineering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1.25 Cr round (this raise)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Open — INR 50L anchor confirmed (Suraj)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Nikos + Suraj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7. What We Are Building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Build area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Phase 1–2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Phase 3–4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Later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Proof Cloud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MinIO/Ceph/S3 access, Jam processing worker, isolated buckets, restore verification.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Paid pilots, usage dashboard, controlled hosted storage.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Multi-site durability only if demand funds it.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Deploy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Install scripts, binary protection, customer deployment checklist.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Customer metering, billing export, alerting, versioned releases.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Marketplace / channel package for operators / OEMs.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Platform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Admin dashboard, customer accounts, API keys, proof reports.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Billing, support, health, customer portal.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Only then consider VMs, containers, Terraform, developer-cloud services.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Data-Centre Ops KG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Define schema: customer, bucket, node, workload, incident, benchmark, cost.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Live graph over Cithorum proof environment.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Sell to other operators as ops-intelligence module.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Workspace KG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Keep specs current; do not overbuild.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Private beta if buyer pull exists.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Launch as hosted Cithorum vertical.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Law KG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Use Nikos legal credibility and design-partner route.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Prototype with matter memory and evidence graph.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Enterprise private hosted / sovereign offering.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Medical Sequencing KG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Use SwissVault / Jam genome proof; avoid regulated data before controls.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Design partner with clear compliance boundary.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Sequencing provenance / evidence workflow platform.</w:t>
            </w:r>
          </w:p>
        </w:tc>
      </w:tr>
    </w:tbl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What not to build yet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Customer-managed virtual machines.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Public Docker / container hosting.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Terraform provider.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Serverless functions.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Kubernetes-as-a-service.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Global edge network.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Public developer cloud.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Full compliance program before paid regulated demand exists.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8. Promotion and Customer Acquisition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Channel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Audience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Message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Assets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Proof-led sales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CTO, CIO, CFO, infra leads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Same workload, fewer bytes, lower bill, verified restore.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Benchmark report, dashboard screenshots, demo video, ROI calculator.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Founder-led content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Investors, operators, technical buyers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Data-centre waste is a measurable tax; Jam turns it into margin.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LinkedIn posts, technical threads, 3-minute demo clips, monthly build notes.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Direct outbound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Data-heavy startups and operators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Run your real dataset through Jam; get a before / after report.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Pilot offer, one-page use-case sheets, follow-up benchmark deck.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Partner-led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M2M, Atreides, 45Drives, NVIDIA ecosystem, approved partner channels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improves existing infrastructure; partners can resell or deploy it.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Partner proposal, integration plan, revenue-share options.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India tender route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Government, banks, education, co-location, state channels (esp. Karnataka 1,000 MW policy)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Sovereign, efficient, lower-cost data infrastructure with measurable economics.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Tender dossier, data-centre capability note, hardware spec, proof cloud results.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BIRAC / scientific route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DBT / BIRAC / clinical labs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AMR detection programme; novel-mechanism evidence loop on the Jam substrate.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BIRAC AMR ₹24.37 Cr application + 11 supporting docs.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Investor updates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Angels, strategics, infra funds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We are turning Jam proof into recurring revenue and financed infrastructure optionality.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Monthly investor memo, KPI dashboard, proof-point register.</w:t>
            </w:r>
          </w:p>
        </w:tc>
      </w:tr>
    </w:tbl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Promotional cadence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Frequency</w:t>
            </w:r>
          </w:p>
        </w:tc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Action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Weekly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One public technical / proof post from Nikos or Lucas; one private investor / customer update; 20 targeted outbound touches.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Biweekly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One demo / proof video or benchmark cutdown; one partner / tender conversation led by Suraj or Nikos.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Monthly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Investor update with MRR, pilots, TB processed, TB saved, pipeline, risks, and next milestone.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Quarterly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Benchmark book refresh; strategic investor / tender push; one live webinar / demo for infrastructure buyers.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9. Investor and Financing Routes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Route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Who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What they need to believe</w:t>
            </w:r>
          </w:p>
        </w:tc>
        <w:tc>
          <w:tcPr>
            <w:tcW w:type="dxa" w:w="2466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Ask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Suraj anchor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Dr Suraj / India partner network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 PB pod can become tender / data-centre route; Jam IP is protected.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50L anchor now; channel support; 1 PB access; tender intros.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Warm angels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Founder network, operators, technical angels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has live MRR and clear proof path.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10–50L checks into INR 1.25 Cr round.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Strategic infra investors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Data-centre operators, storage OEMs, cloud / storage partners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improves their economics or creates differentiated hosted storage.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Strategic seed, pilot funding, integration funding, reseller path.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Customer financed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M2M, Atreides, 45Drives-style buyers, data-heavy prospects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saves them more than it costs.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MRR, setup fee, paid pilot, prepaid annual contract.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Government / tender finance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Karnataka / Keonics / state departments, banks, education, health infrastructure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(India) can deliver lower-cost sovereign data infrastructure.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Work order / tender that can unlock bank / project finance.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BIRAC / scientific grant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BIRAC AMR programme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(India) can run the AMR detection workstream with Suraj + Chirag Labs.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INR 24.37 Cr non-dilutive AMR programme grant.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SaaS / KG investors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Workflow / SaaS / AI investors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gives infrastructure moat; KG is the software expansion layer.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Seed extension after data-centre proof and first KG design partner.</w:t>
            </w:r>
          </w:p>
        </w:tc>
      </w:tr>
      <w:tr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Project finance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Infrastructure funds, banks, strategic data-centre sponsors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Anchor demand exists; payback is modelled; Jam improves margin.</w:t>
            </w:r>
          </w:p>
        </w:tc>
        <w:tc>
          <w:tcPr>
            <w:tcW w:type="dxa" w:w="2466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10–100 PB build / operate financing, not general working capital.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10. Operating Rules, Risks, and Governance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Rule</w:t>
            </w:r>
          </w:p>
        </w:tc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Reason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No 100 PB build without anchor demand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Prevents capex before market proof.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Jam IP stays at parent; customers receive deployment / runtime access, not source control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Preserves the core moat across the three-entity structure.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Free pilots require benchmark / case-study rights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Free usage must generate proof.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Paid pilots are the default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Filters serious buyers and offsets operating cost.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Regulated medical data only after controls are ready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Avoid compliance risk while still using genome proof history.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Cithorum platform hosts Cithorum products first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Avoids premature Vercel / AWS-style developer-cloud scope.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Indian-tender bids only by Cithorum (India)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Keeps Cithorum (Canada) commercial relationships clean and avoids cross-border procurement issues.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Monthly board-style KPI review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Keeps founders, Suraj, and investors aligned.</w:t>
            </w:r>
          </w:p>
        </w:tc>
      </w:tr>
    </w:tbl>
    <w:p>
      <w:pPr>
        <w:spacing w:before="160" w:after="40"/>
      </w:pPr>
      <w:r>
        <w:rPr>
          <w:rFonts w:ascii="Calibri" w:hAnsi="Calibri" w:cs="Calibri" w:eastAsia="Calibri"/>
          <w:b/>
          <w:i w:val="0"/>
          <w:color w:val="0B3A5B"/>
          <w:sz w:val="24"/>
        </w:rPr>
        <w:t>Top risks and mitigations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Risk</w:t>
            </w:r>
          </w:p>
        </w:tc>
        <w:tc>
          <w:tcPr>
            <w:tcW w:type="dxa" w:w="4933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Mitigation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Building too much at once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Gate every build against 90-day proof / revenue / tender objectives.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Being perceived as cheap storage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Lead with Jam economics, proof reports, and KG premium layer; avoid commodity TB pricing.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Security concerns from pilots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Use isolated buckets, quotas, allowlisted access, audit logs, and no sensitive regulated data at first.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Suraj route diverges from Jam software route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Use dual-track framing: Jam Deploy now; owned data centre later only when demand is secured.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Tender route takes longer than expected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Keep private-sector Jam Deploy revenue moving in parallel.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M2M MRR not fully collectible or delayed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Treat as formal MRR only once invoice / payment evidence is clean; do not base burn solely on it.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KG distracts from Jam proof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Build Data-Centre Ops KG first from real telemetry; launch external KG vertical only with design partner.</w:t>
            </w:r>
          </w:p>
        </w:tc>
      </w:tr>
      <w:tr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Three-entity governance becomes complex</w:t>
            </w:r>
          </w:p>
        </w:tc>
        <w:tc>
          <w:tcPr>
            <w:tcW w:type="dxa" w:w="4933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Run a single management team; entity decisions go through quarterly board pack with explicit jurisdiction column.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11. Immediate 14-Day Plan</w:t>
      </w:r>
    </w:p>
    <w:tbl>
      <w:tblPr>
        <w:tblStyle w:val="Light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Day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Action</w:t>
            </w:r>
          </w:p>
        </w:tc>
        <w:tc>
          <w:tcPr>
            <w:tcW w:type="dxa" w:w="3289"/>
            <w:shd w:val="clear" w:color="auto" w:fill="EAF2F8"/>
          </w:tcPr>
          <w:p>
            <w:r/>
            <w:r>
              <w:rPr>
                <w:rFonts w:ascii="Calibri" w:hAnsi="Calibri" w:cs="Calibri" w:eastAsia="Calibri"/>
                <w:b/>
                <w:i w:val="0"/>
                <w:color w:val="0B3A5B"/>
                <w:sz w:val="19"/>
              </w:rPr>
              <w:t>Owner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1–2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Send Suraj the combined route summary and funding plan; agree what INR 50L buys first.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Nikos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1–3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Confirm 1 PB server details: hardware, access, network, redundancy, operating cost, legal control.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Suraj + Lucas / Nikos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2–5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Package M2M invoice / payment proof, Jam demo videos, and proof-point evidence into one proof folder.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Nikos + Lucas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3–7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Draft pilot agreement and customer-data terms.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Nikos + legal support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4–8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Write technical architecture for Proof Cloud MVP: MinIO / Ceph / ZFS, Jam worker, Postgres, dashboard.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Lucas + Spyros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5–10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Identify 20 pilot prospects; prioritise 5 with strong workloads and warm intros.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Nikos + Suraj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7–12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Prepare India tender / channel map: Karnataka 1,000 MW policy, Keonics route, state data-centre tenders, banks, education, healthcare.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Suraj</w:t>
            </w:r>
          </w:p>
        </w:tc>
      </w:tr>
      <w:tr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10–14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Investor outreach pack: roadmap, funding ask, proof deck, 1 PB plan, break-even model.</w:t>
            </w:r>
          </w:p>
        </w:tc>
        <w:tc>
          <w:tcPr>
            <w:tcW w:type="dxa" w:w="3289"/>
          </w:tcPr>
          <w:p>
            <w:r/>
            <w:r>
              <w:rPr>
                <w:rFonts w:ascii="Calibri" w:hAnsi="Calibri" w:cs="Calibri" w:eastAsia="Calibri"/>
                <w:b w:val="0"/>
                <w:i w:val="0"/>
                <w:color w:val="33404D"/>
                <w:sz w:val="19"/>
              </w:rPr>
              <w:t>Nikos</w:t>
            </w:r>
          </w:p>
        </w:tc>
      </w:tr>
    </w:tbl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12. Open Questions for Nikos and Suraj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What is the exact investment instrument for Suraj's INR 50L: equity, SAFE / convertible, loan, or India-entity project investment?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Which entity owns Jam IP today (parent expected), and how should Cithorum (India) license it for the data-centre / tender route?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Can M2M's name and USD 7K/month formal MRR be used in investor materials, or only privately under NDA?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What is the exact 1 PB server configuration: usable capacity, raw capacity, redundancy, disks, CPU, RAM, bandwidth, IP addresses, uptime, and physical location?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Who pays the ongoing operating cost of the 1 PB environment during the first 90 days?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Which workloads are disallowed in pilots: regulated medical data, personal data, illegal content, crypto mining, high-egress media, etc.?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Who owns the India tender route day to day, and what is the first real tender / work-order target (Karnataka 1,000 MW policy, BIRAC AMR, Keonics, state DC tenders)?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Which KG vertical should be first external beta if there is equal interest: Workspace, Law, or Medical Sequencing?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What is the maximum monthly burn the founders are willing to self-fund if the full INR 1.25 Cr is not raised immediately?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What proof can be shown publicly versus only inside investor / customer rooms: NVIDIA, NATO/UNITE, T-Mobile, RTX/Raytheon, Atreides, M2M, SwissVault?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Indian entity legal designation: ROC filing pending — Cithorum [INDIA LEGAL SUFFIX] until confirmed.</w:t>
      </w:r>
    </w:p>
    <w:p>
      <w:pPr>
        <w:pStyle w:val="ListBullet"/>
        <w:spacing w:after="40"/>
      </w:pPr>
      <w:r>
        <w:rPr>
          <w:rFonts w:ascii="Calibri" w:hAnsi="Calibri" w:cs="Calibri" w:eastAsia="Calibri"/>
          <w:b w:val="0"/>
          <w:i w:val="0"/>
          <w:sz w:val="21"/>
        </w:rPr>
        <w:t>Parent jurisdiction: pending Suraj confirmation per the May 2026 follow-up.</w:t>
      </w:r>
    </w:p>
    <w:p>
      <w:pPr>
        <w:spacing w:before="280" w:after="80"/>
      </w:pPr>
      <w:r>
        <w:rPr>
          <w:rFonts w:ascii="Calibri" w:hAnsi="Calibri" w:cs="Calibri" w:eastAsia="Calibri"/>
          <w:b/>
          <w:i w:val="0"/>
          <w:color w:val="0B3A5B"/>
          <w:sz w:val="30"/>
        </w:rPr>
        <w:t>Recommendation to Investors</w:t>
      </w:r>
    </w:p>
    <w:p>
      <w:pPr>
        <w:spacing w:after="80"/>
      </w:pPr>
      <w:r>
        <w:rPr>
          <w:rFonts w:ascii="Calibri" w:hAnsi="Calibri" w:cs="Calibri" w:eastAsia="Calibri"/>
          <w:b w:val="0"/>
          <w:i/>
          <w:sz w:val="21"/>
        </w:rPr>
        <w:t>The first INR 1.25 Cr is not for speculative data-centre capex. It is for proof, revenue conversion, metering, and customer / tender evidence. The larger infrastructure raise happens only after demand is bankable. The tender-led India model lets Cithorum (India) finance the build through work orders rather than equity, while Cithorum (Canada) continues to expand the existing commercial revenue base.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020" w:bottom="1361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Calibri" w:hAnsi="Calibri" w:cs="Calibri" w:eastAsia="Calibri"/>
        <w:b w:val="0"/>
        <w:i w:val="0"/>
        <w:color w:val="5B6B77"/>
        <w:sz w:val="15"/>
      </w:rPr>
      <w:t>Cithorum operates as a brand across three legal entities — a European parent, Cithorum (India), and Cithorum (Canada). Cithorum (India) is registered as an MSE under the Udyam programme. Indian entity legal designation pending ROC filing — Q2 2026.</w:t>
    </w:r>
  </w:p>
  <w:p>
    <w:pPr>
      <w:jc w:val="center"/>
    </w:pPr>
    <w:r>
      <w:rPr>
        <w:rFonts w:ascii="Calibri" w:hAnsi="Calibri" w:cs="Calibri" w:eastAsia="Calibri"/>
        <w:b w:val="0"/>
        <w:i w:val="0"/>
        <w:color w:val="5B6B77"/>
        <w:sz w:val="16"/>
      </w:rPr>
      <w:t>Cithorum · Confidential · May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 w:cs="Calibri" w:eastAsia="Calibri"/>
        <w:b/>
        <w:i w:val="0"/>
        <w:color w:val="0B3A5B"/>
        <w:sz w:val="17"/>
      </w:rPr>
      <w:t>CITHORUM   ·   Investor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