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cs="Calibri" w:eastAsia="Calibri"/>
          <w:b/>
          <w:i w:val="0"/>
          <w:color w:val="0B3A5B"/>
          <w:sz w:val="20"/>
          <w:spacing w:val="60"/>
        </w:rPr>
        <w:t>CITHORUM</w:t>
      </w:r>
    </w:p>
    <w:p>
      <w:r>
        <w:rPr>
          <w:rFonts w:ascii="Calibri" w:hAnsi="Calibri" w:cs="Calibri" w:eastAsia="Calibri"/>
          <w:b/>
          <w:i w:val="0"/>
          <w:color w:val="0B3A5B"/>
          <w:sz w:val="44"/>
        </w:rPr>
        <w:t>Hardware Spec: 1 MW-Equivalent Data Centre</w:t>
      </w:r>
    </w:p>
    <w:p>
      <w:r>
        <w:rPr>
          <w:rFonts w:ascii="Calibri" w:hAnsi="Calibri" w:cs="Calibri" w:eastAsia="Calibri"/>
          <w:b w:val="0"/>
          <w:i/>
          <w:color w:val="33404D"/>
          <w:sz w:val="24"/>
        </w:rPr>
        <w:t>Jam-enabled vs. conventional India greenfield build — pre-BOM engineering narrative</w:t>
      </w:r>
    </w:p>
    <w:p>
      <w:r>
        <w:rPr>
          <w:rFonts w:ascii="Calibri" w:hAnsi="Calibri" w:cs="Calibri" w:eastAsia="Calibri"/>
          <w:b w:val="0"/>
          <w:i w:val="0"/>
          <w:color w:val="5B6B77"/>
          <w:sz w:val="18"/>
        </w:rPr>
        <w:t>Engineer · Cithorum · May 2026</w:t>
      </w:r>
    </w:p>
    <w:p>
      <w:pPr>
        <w:pBdr>
          <w:bottom w:val="single" w:sz="10" w:space="1" w:color="0B3A5B"/>
        </w:pBdr>
      </w:pPr>
    </w:p>
    <w:p>
      <w:r>
        <w:rPr>
          <w:rFonts w:ascii="Calibri" w:hAnsi="Calibri" w:cs="Calibri" w:eastAsia="Calibri"/>
          <w:b w:val="0"/>
          <w:i/>
          <w:color w:val="33404D"/>
          <w:sz w:val="21"/>
        </w:rPr>
        <w:t>Reference architecture (not a construction drawing) comparing the rack-level infrastructure required to deliver the same 1 MW-equivalent workload with and without Jam in an India greenfield data-centre context. Now includes Hardware Delta v2: a backup-tier best-case point that reflects the live April 2026 100× rsync comparator.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Executive Definition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This memo treats "1 MW output" as 1 MW-equivalent IT service output: the same storage, compute, network, and inference workload a conventional 1,000 kW IT-load hall would serve. The Jam case is not a 1,000 kW electrical load; it is the same workload delivered with roughly 720 kW IT draw because Jam reduces the hardware and energy required to serve it.</w:t>
      </w:r>
    </w:p>
    <w:p>
      <w:pPr>
        <w:spacing w:before="160" w:after="40"/>
      </w:pPr>
      <w:r>
        <w:rPr>
          <w:rFonts w:ascii="Calibri" w:hAnsi="Calibri" w:cs="Calibri" w:eastAsia="Calibri"/>
          <w:b/>
          <w:i w:val="0"/>
          <w:color w:val="0B3A5B"/>
          <w:sz w:val="24"/>
        </w:rPr>
        <w:t>Headline Delta — Conservative (3.6×) Case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Without Jam: 1,000 kW IT load, ~1,400 kW facility draw at PUE 1.40, ~28 racks, USD $14–17M rack-level CapEx, ~250 kWh usable LFP battery bank.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With Jam (conservative): ~720 kW IT load for the same service output, ~958 kW facility draw at PUE 1.33, ~14 racks, USD $8–10M rack-level CapEx, ~180 kWh usable VRLA lead-acid battery bank.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Result: ~442 kW lower facility demand, ~3.87 GWh/year avoided, roughly USD $6–7M lower rack-level CapEx, and a smaller UPS/battery/generator envelope.</w:t>
      </w:r>
    </w:p>
    <w:p>
      <w:pPr>
        <w:spacing w:before="160" w:after="40"/>
      </w:pPr>
      <w:r>
        <w:rPr>
          <w:rFonts w:ascii="Calibri" w:hAnsi="Calibri" w:cs="Calibri" w:eastAsia="Calibri"/>
          <w:b/>
          <w:i w:val="0"/>
          <w:color w:val="0B3A5B"/>
          <w:sz w:val="24"/>
        </w:rPr>
        <w:t>Hardware Delta v2 — Backup-Tier Best Case (100× rsync)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April 2026 live test on a backup workload showed Jam delivering ~100× compression vs an rsync comparator. Where the workload is a backup-tier corpus (cold or warm-cold replication, snapshot consolidation, archival ingest), the Jam case compresses to a much smaller footprint than the conservative 3.6× line allows. The table below records both points so engineering and procurement can scope the same site against either bound, depending on workload mix.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2466"/>
        <w:gridCol w:w="2466"/>
        <w:gridCol w:w="2466"/>
        <w:gridCol w:w="2466"/>
      </w:tblGrid>
      <w:tr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Dimension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Conventional 1 MW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Jam — Conservative (3.6×)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Jam — Backup-Tier Best Case (100×)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Racks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~28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~14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IT load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1,000 kW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~720 kW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~70 kW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Facility draw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~1,400 kW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~958 kW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~100 kW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Rack-level CapEx (USD)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$14–17M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$8–10M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$1–2M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Battery bank (usable)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~250 kWh LFP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~180 kWh VRLA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~18 kWh VRLA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Annual energy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~12.26 GWh/yr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~8.39 GWh/yr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~0.88 GWh/yr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Workload applicability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All workloads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Mixed enterprise (3.6× typical)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Backup tier only (April 2026 live test corpus)</w:t>
            </w:r>
          </w:p>
        </w:tc>
      </w:tr>
    </w:tbl>
    <w:p>
      <w:pPr>
        <w:spacing w:after="80"/>
      </w:pPr>
      <w:r>
        <w:rPr>
          <w:rFonts w:ascii="Calibri" w:hAnsi="Calibri" w:cs="Calibri" w:eastAsia="Calibri"/>
          <w:b w:val="0"/>
          <w:i/>
          <w:sz w:val="21"/>
        </w:rPr>
        <w:t>The backup-tier line is a workload-specific bound, not a universal claim. Mixed enterprise workloads should still be sized against the conservative 3.6× line. The 100× figure is the April 2026 live test (123 GB → 1.18 GB; recording at videopress.com/v/w4Z0jvUC).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1. Design Basis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This is a reference architecture, not a construction drawing. It compares the rack-level infrastructure needed to deliver the same 1 MW-equivalent workload with and without Jam in an India greenfield data-centre context.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Geography: India greenfield site; state-by-state power, fire, and permitting requirements still apply.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Workload mix: storage, compute, databases, backup/replication, and AI inference/training.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Battery runtime: 15 minutes to generator start/stabilisation, not long-duration energy storage.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Redundancy: Tier III-like N+1 power/cooling intent; formal certification requires independent review.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Battery sizing: usable kWh shown. Nominal installed capacity must include depth-of-discharge, ageing, temperature, and UPS-efficiency margins.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Cost boundary: rack-level build only. Excludes land, shell, grid connection, permits, GST/import duties, civil works, and full fire/BMS integration.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2. Conventional 1 MW IT-Load Build: Without Jam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The baseline uses conventional storage, vendor-standard compression where available, KMS-backed encryption, and accelerator-first inference. It consumes the full 1,000 kW IT design load and therefore carries the full power, cooling, UPS, battery, and generator envelope.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Component</w:t>
            </w:r>
          </w:p>
        </w:tc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Specification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Compute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68 × 2U dual-socket AMD EPYC-class servers; ~13k cores; ~50 TB DDR5 aggregate.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Storage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40 × 4U dense hybrid chassis: 60 × 20 TB HDD + 12 × 15.36 TB NVMe each. 2,400 HDDs + 480 NVMe devices.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GPU tier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12 × NVIDIA L40S + 8 × NVIDIA H100-class. Corrected board-power basis ~9.8 kW pre-host overhead.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Network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28–32 × 100 GbE ToR + 4 × 400 GbE spine; diverse 100 GbE carrier uplinks.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UPS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3 × 500 kW modular UPS, N+1. One failed module still leaves 1,000 kW protected.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Battery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~250 kWh usable LFP bank (larger nominal after design margins).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Generators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2 × 2.0 MVA diesel gensets, N+1. One 2.0 MVA set covers ~1.4 MW facility draw.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Cooling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Mechanical plant for ~1,000 kW IT heat rejection; ~400 kW electrical overhead at PUE 1.40.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Rack count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~28 racks at ~36 kW/rack average.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3. Jam-Enabled 1 MW-Equivalent Build (Conservative)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The Jam case serves the same workload output with fewer physical bytes stored, moved, encrypted, and repeatedly read. Jam combines lossless compression and dedupe, semantic indexing, keyless/indirect encryption, and CPU/SSD-sufficient execution paths for sub-frontier inference.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Component</w:t>
            </w:r>
          </w:p>
        </w:tc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Specification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Compute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54 × 2U dual-socket EPYC-class servers. Lower I/O, crypto, and inference pressure reduces required pool.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Storage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20 × 4U dense hybrid chassis using the same media profile. ~2× effective footprint reduction (conservative).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GPU tier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0 GPUs required for sub-frontier inference. Optional reduced pool: up to 6 × L40S + 4 × H100 for frontier/training/compatibility.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Network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16–20 × 100 GbE ToR + 2 × 400 GbE spine. Less east–west replication and backup traffic.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UPS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3 × 400 kW modular UPS, N+1. 800 kW protected + spare module covers ~720 kW IT draw with headroom.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Battery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~180 kWh usable VRLA lead-acid bank (larger nominal after margins).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Generators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2 × 1.5 MVA diesel gensets, N+1. One set covers ~958 kW facility draw at typical PF.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Cooling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Mechanical plant for ~720 kW IT heat rejection; ~238 kW electrical overhead at PUE 1.33.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Rack count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~14 racks at ~30–36 kW/rack average.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4. Where the Delta Comes From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Storage compression + dedupe: Jam stores fewer physical bytes and avoids duplicating blocks across backup and replication paths, reducing storage chassis from 40 to 20 in the conservative case.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Semantic indexing: indexed reads avoid full decompression and repeated scan paths, reducing compute and I/O pressure.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Keyless / indirect encryption: the encryption envelope sits in the data path without a hot KMS round trip for every access. Security improves without adding latency tax.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CPU/SSD inference path: sub-frontier inference runs on commodity CPU/SSD paths rather than defaulting to accelerator tiers. GPUs become optional for many enterprise workloads.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Lower facility load: IT draw falls from 1,000 kW to ~720 kW (conservative) or ~70 kW (backup-tier best case). Facility draw falls accordingly, avoiding ~3.87 GWh/year (conservative) up to ~11.4 GWh/year (backup-tier).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5. Battery Chemistry: Why VRLA Becomes Viable With Jam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The defensible claim is not "lead-acid is always safer than LFP." The narrower claim is that Jam reduces the UPS energy requirement from ~250 kWh usable to ~180 kWh (conservative) or ~18 kWh (backup-tier), making a larger/heavier VRLA bank practical. In stationary UPS float-duty, VRLA has a familiar ventilation-managed failure model, while LFP remains a lithium-ion ESS that must be engineered around thermal-runaway propagation.</w:t>
      </w:r>
    </w:p>
    <w:p>
      <w:pPr>
        <w:spacing w:before="100" w:after="20"/>
      </w:pPr>
      <w:r>
        <w:rPr>
          <w:rFonts w:ascii="Calibri" w:hAnsi="Calibri" w:cs="Calibri" w:eastAsia="Calibri"/>
          <w:b/>
          <w:i w:val="0"/>
          <w:color w:val="33404D"/>
          <w:sz w:val="21"/>
        </w:rPr>
        <w:t>Why Jam can use lead-acid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The lower Jam IT load reduces the 15-minute bridge battery to a manageable footprint and weight at VRLA densities.</w:t>
      </w:r>
    </w:p>
    <w:p>
      <w:pPr>
        <w:spacing w:before="100" w:after="20"/>
      </w:pPr>
      <w:r>
        <w:rPr>
          <w:rFonts w:ascii="Calibri" w:hAnsi="Calibri" w:cs="Calibri" w:eastAsia="Calibri"/>
          <w:b/>
          <w:i w:val="0"/>
          <w:color w:val="33404D"/>
          <w:sz w:val="21"/>
        </w:rPr>
        <w:t>Why not claim VRLA is simply safer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Both chemistries have hazards. VRLA emits hydrogen and acid and needs ventilation, detection, containment, and maintenance. LFP is safer than NMC/NCA lithium-ion, but thermal runaway and propagation still need BMS, spacing, detection, suppression, and testing.</w:t>
      </w:r>
    </w:p>
    <w:p>
      <w:pPr>
        <w:spacing w:before="100" w:after="20"/>
      </w:pPr>
      <w:r>
        <w:rPr>
          <w:rFonts w:ascii="Calibri" w:hAnsi="Calibri" w:cs="Calibri" w:eastAsia="Calibri"/>
          <w:b/>
          <w:i w:val="0"/>
          <w:color w:val="33404D"/>
          <w:sz w:val="21"/>
        </w:rPr>
        <w:t>Where LFP is still better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Floor/weight constrained sites, high-cycle demand-response/peak-shaving, or jurisdictions/insurers that prefer lithium-ion ESS packages.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6. Captive Solar Economics (India)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For a Jam-enabled site sized at ~720 kW IT (conservative case) or ~70 kW (backup-tier), captive solar shifts the operating economics meaningfully: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Lever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Number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Source / note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Captive solar tariff (assumed)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~₹2.35 / kWh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PPA-style rooftop / open-access; verify per state.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Grid tariff (industrial, India avg)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~₹8.00 / kWh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Refresh per state utility tariff schedule.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Off-grid 1 MW build cost (assumed)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~₹2.25 Cr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Solar + ESS + BMS + civils; refresh against vendor BoM.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Conservative-case Jam saving (5 yr, ₹8/kWh)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~₹15.5 Cr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vs conventional 1 MW; avoided ~3.87 GWh/yr × 5 yr.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Backup-tier Jam saving (5 yr, ₹8/kWh)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~₹45.6 Cr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vs conventional 1 MW; avoided ~11.4 GWh/yr × 5 yr.</w:t>
            </w:r>
          </w:p>
        </w:tc>
      </w:tr>
    </w:tbl>
    <w:p>
      <w:pPr>
        <w:spacing w:after="80"/>
      </w:pPr>
      <w:r>
        <w:rPr>
          <w:rFonts w:ascii="Calibri" w:hAnsi="Calibri" w:cs="Calibri" w:eastAsia="Calibri"/>
          <w:b w:val="0"/>
          <w:i/>
          <w:sz w:val="21"/>
        </w:rPr>
        <w:t>These are planning numbers, not procurement quotes. Substitute the state tariff, captive PPA terms, and finance cost before issuing tender or BOM.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7. India-Specific Implementation Notes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Final site sizing should use the state-level utility tariff, diesel runtime requirement, fuel logistics, ambient temperature, monsoon humidity, and local fire authority requirements.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VRLA battery rooms need ventilation, hydrogen detection, acid-resistant containment, charger controls, maintenance clearance, and alarm integration.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LFP systems need a tested ESS design package: BMS, spacing, detection/suppression, emergency response plan, and propagation/fire-test evidence acceptable to the authority and insurer.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Battery procurement and end-of-life handling should comply with India Battery Waste Management Rules 2022 and use registered producers/recyclers under EPR obligations.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CapEx bands exclude GST/import duties, grid interconnect, network carrier NRCs, shell/civil works, and full site commissioning.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8. Caveats and Next Artefact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Named-vendor BOM: required before quoting. This memo is a reference architecture, not a procurement schedule.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Jam savings: assumes inline Jam deployment at OS/storage path level. Partial deployments should use lower savings bands. Backup-tier 100× requires a backup-tier corpus.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GPU strategy: use "0 GPUs required for sub-frontier inference" rather than "no GPUs ever." Training/frontier workloads may still warrant a reduced pool.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Battery engineering: chemistry guidance must be validated by licensed electrical and fire engineers, insurer, and local authority.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Tier certification: Tier III-like architecture is not certified Tier III; certification requires full MEP design review.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Appendix A: Core Calculations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Facility draw without Jam: 1,000 kW IT × PUE 1.40 = ~1,400 kW.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Facility draw with Jam (conservative): ~720 kW IT × PUE 1.33 = ~958 kW.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Facility draw with Jam (backup-tier): ~70 kW IT × PUE 1.40 ≈ ~100 kW (engineered down from baseline; PUE assumption pessimistic at this scale).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Annual energy without Jam: 1,400 kW × 8,760 h ≈ ~12.26 GWh/yr.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Annual energy with Jam (conservative): 958 kW × 8,760 h ≈ ~8.39 GWh/yr.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Annual energy with Jam (backup-tier): 100 kW × 8,760 h ≈ ~0.88 GWh/yr.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Annual energy avoided (conservative): ~3.87 GWh/yr; (backup-tier): ~11.4 GWh/yr.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5-year energy at USD $0.11/kWh: ~$6.74M without Jam vs ~$4.61M conservative vs ~$0.48M backup-tier.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5-year energy at INR 8/kWh: ~₹49.1 Cr without Jam vs ~₹33.6 Cr conservative vs ~₹3.5 Cr backup-tier.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Battery usable kWh: baseline 1,000 kW × 0.25 h = 250 kWh; conservative 720 × 0.25 = 180 kWh; backup-tier 70 × 0.25 = 17.5 kWh.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GPU board-power correction: 12 × 350 W L40S + 8 × 700 W H100 = ~9.8 kW before host/node overhead. Remove the earlier ~180 kW claim.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Appendix B: Source Notes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[1] NVIDIA L40S official product page, 350 W maximum power: https://www.nvidia.com/en-us/data-center/l40s/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[2] NVIDIA H100 official product page, SXM TDP up to 700 W: https://www.nvidia.com/en-eu/data-center/h100/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[3] OSHA battery charging ventilation requirement: https://www.osha.gov/laws-regs/regulations/standardnumber/1926/1926.441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[4] UL overview of UL 9540A and NFPA 855 thermal-runaway propagation testing: https://www.ul.com/thecodeauthority/knowledge/understanding-UL-9540A-NFPA-855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[5] US EPA lead-acid battery collection/recycling note: https://www.epa.gov/electronics-batteries-management/battery-collection-action-case-study-lead-acid-battery-collection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[6] India Battery Waste Management Rules 2022 notification: https://mnre.gov.in/en/document/notification-on-battery-waste-management-rules-2022-by-ministry-of-environment-forest-and-climate-change/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[7] Cithorum + Jam April 2026 backup-tier 100× rsync comparator (recording: videopress.com/v/w4Z0jvUC).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020" w:bottom="1361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Calibri" w:hAnsi="Calibri" w:cs="Calibri" w:eastAsia="Calibri"/>
        <w:b w:val="0"/>
        <w:i w:val="0"/>
        <w:color w:val="5B6B77"/>
        <w:sz w:val="15"/>
      </w:rPr>
      <w:t>Cithorum operates as a brand across three legal entities — a European parent, Cithorum (India), and Cithorum (Canada). Cithorum (India) is registered as an MSE under the Udyam programme. Indian entity legal designation pending ROC filing — Q2 2026.</w:t>
    </w:r>
  </w:p>
  <w:p>
    <w:pPr>
      <w:jc w:val="center"/>
    </w:pPr>
    <w:r>
      <w:rPr>
        <w:rFonts w:ascii="Calibri" w:hAnsi="Calibri" w:cs="Calibri" w:eastAsia="Calibri"/>
        <w:b w:val="0"/>
        <w:i w:val="0"/>
        <w:color w:val="5B6B77"/>
        <w:sz w:val="16"/>
      </w:rPr>
      <w:t>Cithorum · Confidential · May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 w:cs="Calibri" w:eastAsia="Calibri"/>
        <w:b/>
        <w:i w:val="0"/>
        <w:color w:val="0B3A5B"/>
        <w:sz w:val="17"/>
      </w:rPr>
      <w:t>CITHORUM   ·   Engineer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