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cs="Calibri" w:eastAsia="Calibri"/>
          <w:b/>
          <w:i w:val="0"/>
          <w:color w:val="0B3A5B"/>
          <w:sz w:val="20"/>
          <w:spacing w:val="60"/>
        </w:rPr>
        <w:t>CITHORUM</w:t>
      </w:r>
    </w:p>
    <w:p>
      <w:r>
        <w:rPr>
          <w:rFonts w:ascii="Calibri" w:hAnsi="Calibri" w:cs="Calibri" w:eastAsia="Calibri"/>
          <w:b/>
          <w:i w:val="0"/>
          <w:color w:val="0B3A5B"/>
          <w:sz w:val="44"/>
        </w:rPr>
        <w:t>Jam Benchmark and Source Truth Register</w:t>
      </w:r>
    </w:p>
    <w:p>
      <w:r>
        <w:rPr>
          <w:rFonts w:ascii="Calibri" w:hAnsi="Calibri" w:cs="Calibri" w:eastAsia="Calibri"/>
          <w:b w:val="0"/>
          <w:i/>
          <w:color w:val="33404D"/>
          <w:sz w:val="24"/>
        </w:rPr>
        <w:t>Claim register separating canonical claims, historical trial evidence, roadmap items, and retired language.</w:t>
      </w:r>
    </w:p>
    <w:p>
      <w:r>
        <w:rPr>
          <w:rFonts w:ascii="Calibri" w:hAnsi="Calibri" w:cs="Calibri" w:eastAsia="Calibri"/>
          <w:b w:val="0"/>
          <w:i w:val="0"/>
          <w:color w:val="5B6B77"/>
          <w:sz w:val="18"/>
        </w:rPr>
        <w:t>Diligence · Cithorum · May 2026</w:t>
      </w:r>
    </w:p>
    <w:p>
      <w:pPr>
        <w:pBdr>
          <w:bottom w:val="single" w:sz="10" w:space="1" w:color="0B3A5B"/>
        </w:pBdr>
      </w:pPr>
    </w:p>
    <w:p>
      <w:r>
        <w:rPr>
          <w:rFonts w:ascii="Calibri" w:hAnsi="Calibri" w:cs="Calibri" w:eastAsia="Calibri"/>
          <w:b w:val="0"/>
          <w:i/>
          <w:color w:val="33404D"/>
          <w:sz w:val="21"/>
        </w:rPr>
        <w:t>Jam has a long technical history and some older decks used aggressive language. This register preserves the useful facts while making clear which claims are approved for outward use and which need validation artefacts. All commercial entries are now attributed to the Cithorum entity that holds the relationship.</w:t>
      </w:r>
    </w:p>
    <w:p>
      <w:pPr>
        <w:spacing w:before="280" w:after="80"/>
      </w:pPr>
      <w:r>
        <w:rPr>
          <w:rFonts w:ascii="Calibri" w:hAnsi="Calibri" w:cs="Calibri" w:eastAsia="Calibri"/>
          <w:b/>
          <w:i w:val="0"/>
          <w:color w:val="0B3A5B"/>
          <w:sz w:val="30"/>
        </w:rPr>
        <w:t>1. Approved Canonical Claims</w:t>
      </w:r>
    </w:p>
    <w:tbl>
      <w:tblPr>
        <w:tblStyle w:val="LightGrid"/>
        <w:tblW w:type="auto" w:w="0"/>
        <w:tblLook w:firstColumn="1" w:firstRow="1" w:lastColumn="0" w:lastRow="0" w:noHBand="0" w:noVBand="1" w:val="04A0"/>
      </w:tblPr>
      <w:tblGrid>
        <w:gridCol w:w="2466"/>
        <w:gridCol w:w="2466"/>
        <w:gridCol w:w="2466"/>
        <w:gridCol w:w="2466"/>
      </w:tblGrid>
      <w:tr>
        <w:tc>
          <w:tcPr>
            <w:tcW w:type="dxa" w:w="2466"/>
            <w:shd w:val="clear" w:color="auto" w:fill="EAF2F8"/>
          </w:tcPr>
          <w:p>
            <w:r/>
            <w:r>
              <w:rPr>
                <w:rFonts w:ascii="Calibri" w:hAnsi="Calibri" w:cs="Calibri" w:eastAsia="Calibri"/>
                <w:b/>
                <w:i w:val="0"/>
                <w:color w:val="0B3A5B"/>
                <w:sz w:val="19"/>
              </w:rPr>
              <w:t>Claim</w:t>
            </w:r>
          </w:p>
        </w:tc>
        <w:tc>
          <w:tcPr>
            <w:tcW w:type="dxa" w:w="2466"/>
            <w:shd w:val="clear" w:color="auto" w:fill="EAF2F8"/>
          </w:tcPr>
          <w:p>
            <w:r/>
            <w:r>
              <w:rPr>
                <w:rFonts w:ascii="Calibri" w:hAnsi="Calibri" w:cs="Calibri" w:eastAsia="Calibri"/>
                <w:b/>
                <w:i w:val="0"/>
                <w:color w:val="0B3A5B"/>
                <w:sz w:val="19"/>
              </w:rPr>
              <w:t>Approved phrasing</w:t>
            </w:r>
          </w:p>
        </w:tc>
        <w:tc>
          <w:tcPr>
            <w:tcW w:type="dxa" w:w="2466"/>
            <w:shd w:val="clear" w:color="auto" w:fill="EAF2F8"/>
          </w:tcPr>
          <w:p>
            <w:r/>
            <w:r>
              <w:rPr>
                <w:rFonts w:ascii="Calibri" w:hAnsi="Calibri" w:cs="Calibri" w:eastAsia="Calibri"/>
                <w:b/>
                <w:i w:val="0"/>
                <w:color w:val="0B3A5B"/>
                <w:sz w:val="19"/>
              </w:rPr>
              <w:t>Primary source</w:t>
            </w:r>
          </w:p>
        </w:tc>
        <w:tc>
          <w:tcPr>
            <w:tcW w:type="dxa" w:w="2466"/>
            <w:shd w:val="clear" w:color="auto" w:fill="EAF2F8"/>
          </w:tcPr>
          <w:p>
            <w:r/>
            <w:r>
              <w:rPr>
                <w:rFonts w:ascii="Calibri" w:hAnsi="Calibri" w:cs="Calibri" w:eastAsia="Calibri"/>
                <w:b/>
                <w:i w:val="0"/>
                <w:color w:val="0B3A5B"/>
                <w:sz w:val="19"/>
              </w:rPr>
              <w:t>Status</w:t>
            </w:r>
          </w:p>
        </w:tc>
      </w:tr>
      <w:tr>
        <w:tc>
          <w:tcPr>
            <w:tcW w:type="dxa" w:w="2466"/>
          </w:tcPr>
          <w:p>
            <w:r/>
            <w:r>
              <w:rPr>
                <w:rFonts w:ascii="Calibri" w:hAnsi="Calibri" w:cs="Calibri" w:eastAsia="Calibri"/>
                <w:b w:val="0"/>
                <w:i w:val="0"/>
                <w:color w:val="33404D"/>
                <w:sz w:val="19"/>
              </w:rPr>
              <w:t>Compression envelope</w:t>
            </w:r>
          </w:p>
        </w:tc>
        <w:tc>
          <w:tcPr>
            <w:tcW w:type="dxa" w:w="2466"/>
          </w:tcPr>
          <w:p>
            <w:r/>
            <w:r>
              <w:rPr>
                <w:rFonts w:ascii="Calibri" w:hAnsi="Calibri" w:cs="Calibri" w:eastAsia="Calibri"/>
                <w:b w:val="0"/>
                <w:i w:val="0"/>
                <w:color w:val="33404D"/>
                <w:sz w:val="19"/>
              </w:rPr>
              <w:t>Up to 100× reduction in benchmark for sparse / highly compressible payloads; typical workloads 35–75% reduction.</w:t>
            </w:r>
          </w:p>
        </w:tc>
        <w:tc>
          <w:tcPr>
            <w:tcW w:type="dxa" w:w="2466"/>
          </w:tcPr>
          <w:p>
            <w:r/>
            <w:r>
              <w:rPr>
                <w:rFonts w:ascii="Calibri" w:hAnsi="Calibri" w:cs="Calibri" w:eastAsia="Calibri"/>
                <w:b w:val="0"/>
                <w:i w:val="0"/>
                <w:color w:val="33404D"/>
                <w:sz w:val="19"/>
              </w:rPr>
              <w:t>MASTER-REFERENCE; Jam-Networked-Storage.</w:t>
            </w:r>
          </w:p>
        </w:tc>
        <w:tc>
          <w:tcPr>
            <w:tcW w:type="dxa" w:w="2466"/>
          </w:tcPr>
          <w:p>
            <w:r/>
            <w:r>
              <w:rPr>
                <w:rFonts w:ascii="Calibri" w:hAnsi="Calibri" w:cs="Calibri" w:eastAsia="Calibri"/>
                <w:b w:val="0"/>
                <w:i w:val="0"/>
                <w:color w:val="33404D"/>
                <w:sz w:val="19"/>
              </w:rPr>
              <w:t>Approved.</w:t>
            </w:r>
          </w:p>
        </w:tc>
      </w:tr>
      <w:tr>
        <w:tc>
          <w:tcPr>
            <w:tcW w:type="dxa" w:w="2466"/>
          </w:tcPr>
          <w:p>
            <w:r/>
            <w:r>
              <w:rPr>
                <w:rFonts w:ascii="Calibri" w:hAnsi="Calibri" w:cs="Calibri" w:eastAsia="Calibri"/>
                <w:b w:val="0"/>
                <w:i w:val="0"/>
                <w:color w:val="33404D"/>
                <w:sz w:val="19"/>
              </w:rPr>
              <w:t>Backup-tier vs rsync</w:t>
            </w:r>
          </w:p>
        </w:tc>
        <w:tc>
          <w:tcPr>
            <w:tcW w:type="dxa" w:w="2466"/>
          </w:tcPr>
          <w:p>
            <w:r/>
            <w:r>
              <w:rPr>
                <w:rFonts w:ascii="Calibri" w:hAnsi="Calibri" w:cs="Calibri" w:eastAsia="Calibri"/>
                <w:b w:val="0"/>
                <w:i w:val="0"/>
                <w:color w:val="33404D"/>
                <w:sz w:val="19"/>
              </w:rPr>
              <w:t>On backup workloads, Jam observes ≈100× compression against rsync (April 2026 live test, 123 GB → 1.18 GB).</w:t>
            </w:r>
          </w:p>
        </w:tc>
        <w:tc>
          <w:tcPr>
            <w:tcW w:type="dxa" w:w="2466"/>
          </w:tcPr>
          <w:p>
            <w:r/>
            <w:r>
              <w:rPr>
                <w:rFonts w:ascii="Calibri" w:hAnsi="Calibri" w:cs="Calibri" w:eastAsia="Calibri"/>
                <w:b w:val="0"/>
                <w:i w:val="0"/>
                <w:color w:val="33404D"/>
                <w:sz w:val="19"/>
              </w:rPr>
              <w:t>Cithorum + Jam April 2026 backup-tier benchmark recording (videopress.com/v/w4Z0jvUC).</w:t>
            </w:r>
          </w:p>
        </w:tc>
        <w:tc>
          <w:tcPr>
            <w:tcW w:type="dxa" w:w="2466"/>
          </w:tcPr>
          <w:p>
            <w:r/>
            <w:r>
              <w:rPr>
                <w:rFonts w:ascii="Calibri" w:hAnsi="Calibri" w:cs="Calibri" w:eastAsia="Calibri"/>
                <w:b w:val="0"/>
                <w:i w:val="0"/>
                <w:color w:val="33404D"/>
                <w:sz w:val="19"/>
              </w:rPr>
              <w:t>Approved tied to backup-tier corpus only.</w:t>
            </w:r>
          </w:p>
        </w:tc>
      </w:tr>
      <w:tr>
        <w:tc>
          <w:tcPr>
            <w:tcW w:type="dxa" w:w="2466"/>
          </w:tcPr>
          <w:p>
            <w:r/>
            <w:r>
              <w:rPr>
                <w:rFonts w:ascii="Calibri" w:hAnsi="Calibri" w:cs="Calibri" w:eastAsia="Calibri"/>
                <w:b w:val="0"/>
                <w:i w:val="0"/>
                <w:color w:val="33404D"/>
                <w:sz w:val="19"/>
              </w:rPr>
              <w:t>Scale-AI average</w:t>
            </w:r>
          </w:p>
        </w:tc>
        <w:tc>
          <w:tcPr>
            <w:tcW w:type="dxa" w:w="2466"/>
          </w:tcPr>
          <w:p>
            <w:r/>
            <w:r>
              <w:rPr>
                <w:rFonts w:ascii="Calibri" w:hAnsi="Calibri" w:cs="Calibri" w:eastAsia="Calibri"/>
                <w:b w:val="0"/>
                <w:i w:val="0"/>
                <w:color w:val="33404D"/>
                <w:sz w:val="19"/>
              </w:rPr>
              <w:t>5× average compression on the Scale-AI MVP dataset.</w:t>
            </w:r>
          </w:p>
        </w:tc>
        <w:tc>
          <w:tcPr>
            <w:tcW w:type="dxa" w:w="2466"/>
          </w:tcPr>
          <w:p>
            <w:r/>
            <w:r>
              <w:rPr>
                <w:rFonts w:ascii="Calibri" w:hAnsi="Calibri" w:cs="Calibri" w:eastAsia="Calibri"/>
                <w:b w:val="0"/>
                <w:i w:val="0"/>
                <w:color w:val="33404D"/>
                <w:sz w:val="19"/>
              </w:rPr>
              <w:t>MASTER-REFERENCE.</w:t>
            </w:r>
          </w:p>
        </w:tc>
        <w:tc>
          <w:tcPr>
            <w:tcW w:type="dxa" w:w="2466"/>
          </w:tcPr>
          <w:p>
            <w:r/>
            <w:r>
              <w:rPr>
                <w:rFonts w:ascii="Calibri" w:hAnsi="Calibri" w:cs="Calibri" w:eastAsia="Calibri"/>
                <w:b w:val="0"/>
                <w:i w:val="0"/>
                <w:color w:val="33404D"/>
                <w:sz w:val="19"/>
              </w:rPr>
              <w:t>Approved only tied to MVP scope.</w:t>
            </w:r>
          </w:p>
        </w:tc>
      </w:tr>
      <w:tr>
        <w:tc>
          <w:tcPr>
            <w:tcW w:type="dxa" w:w="2466"/>
          </w:tcPr>
          <w:p>
            <w:r/>
            <w:r>
              <w:rPr>
                <w:rFonts w:ascii="Calibri" w:hAnsi="Calibri" w:cs="Calibri" w:eastAsia="Calibri"/>
                <w:b w:val="0"/>
                <w:i w:val="0"/>
                <w:color w:val="33404D"/>
                <w:sz w:val="19"/>
              </w:rPr>
              <w:t>Rsync-style speed</w:t>
            </w:r>
          </w:p>
        </w:tc>
        <w:tc>
          <w:tcPr>
            <w:tcW w:type="dxa" w:w="2466"/>
          </w:tcPr>
          <w:p>
            <w:r/>
            <w:r>
              <w:rPr>
                <w:rFonts w:ascii="Calibri" w:hAnsi="Calibri" w:cs="Calibri" w:eastAsia="Calibri"/>
                <w:b w:val="0"/>
                <w:i w:val="0"/>
                <w:color w:val="33404D"/>
                <w:sz w:val="19"/>
              </w:rPr>
              <w:t>Up to 400× faster than classical rsync on the Scale-AI MVP benchmark.</w:t>
            </w:r>
          </w:p>
        </w:tc>
        <w:tc>
          <w:tcPr>
            <w:tcW w:type="dxa" w:w="2466"/>
          </w:tcPr>
          <w:p>
            <w:r/>
            <w:r>
              <w:rPr>
                <w:rFonts w:ascii="Calibri" w:hAnsi="Calibri" w:cs="Calibri" w:eastAsia="Calibri"/>
                <w:b w:val="0"/>
                <w:i w:val="0"/>
                <w:color w:val="33404D"/>
                <w:sz w:val="19"/>
              </w:rPr>
              <w:t>MASTER-REFERENCE; Scale-AI scope.</w:t>
            </w:r>
          </w:p>
        </w:tc>
        <w:tc>
          <w:tcPr>
            <w:tcW w:type="dxa" w:w="2466"/>
          </w:tcPr>
          <w:p>
            <w:r/>
            <w:r>
              <w:rPr>
                <w:rFonts w:ascii="Calibri" w:hAnsi="Calibri" w:cs="Calibri" w:eastAsia="Calibri"/>
                <w:b w:val="0"/>
                <w:i w:val="0"/>
                <w:color w:val="33404D"/>
                <w:sz w:val="19"/>
              </w:rPr>
              <w:t>Approved with benchmark qualifier.</w:t>
            </w:r>
          </w:p>
        </w:tc>
      </w:tr>
      <w:tr>
        <w:tc>
          <w:tcPr>
            <w:tcW w:type="dxa" w:w="2466"/>
          </w:tcPr>
          <w:p>
            <w:r/>
            <w:r>
              <w:rPr>
                <w:rFonts w:ascii="Calibri" w:hAnsi="Calibri" w:cs="Calibri" w:eastAsia="Calibri"/>
                <w:b w:val="0"/>
                <w:i w:val="0"/>
                <w:color w:val="33404D"/>
                <w:sz w:val="19"/>
              </w:rPr>
              <w:t>AI/ML data loading</w:t>
            </w:r>
          </w:p>
        </w:tc>
        <w:tc>
          <w:tcPr>
            <w:tcW w:type="dxa" w:w="2466"/>
          </w:tcPr>
          <w:p>
            <w:r/>
            <w:r>
              <w:rPr>
                <w:rFonts w:ascii="Calibri" w:hAnsi="Calibri" w:cs="Calibri" w:eastAsia="Calibri"/>
                <w:b w:val="0"/>
                <w:i w:val="0"/>
                <w:color w:val="33404D"/>
                <w:sz w:val="19"/>
              </w:rPr>
              <w:t>Up to 1000× faster data loading for compatible AI/ML pipelines.</w:t>
            </w:r>
          </w:p>
        </w:tc>
        <w:tc>
          <w:tcPr>
            <w:tcW w:type="dxa" w:w="2466"/>
          </w:tcPr>
          <w:p>
            <w:r/>
            <w:r>
              <w:rPr>
                <w:rFonts w:ascii="Calibri" w:hAnsi="Calibri" w:cs="Calibri" w:eastAsia="Calibri"/>
                <w:b w:val="0"/>
                <w:i w:val="0"/>
                <w:color w:val="33404D"/>
                <w:sz w:val="19"/>
              </w:rPr>
              <w:t>MASTER-REFERENCE; commercial licensing benchmark note.</w:t>
            </w:r>
          </w:p>
        </w:tc>
        <w:tc>
          <w:tcPr>
            <w:tcW w:type="dxa" w:w="2466"/>
          </w:tcPr>
          <w:p>
            <w:r/>
            <w:r>
              <w:rPr>
                <w:rFonts w:ascii="Calibri" w:hAnsi="Calibri" w:cs="Calibri" w:eastAsia="Calibri"/>
                <w:b w:val="0"/>
                <w:i w:val="0"/>
                <w:color w:val="33404D"/>
                <w:sz w:val="19"/>
              </w:rPr>
              <w:t>Approved with compatibility qualifier.</w:t>
            </w:r>
          </w:p>
        </w:tc>
      </w:tr>
      <w:tr>
        <w:tc>
          <w:tcPr>
            <w:tcW w:type="dxa" w:w="2466"/>
          </w:tcPr>
          <w:p>
            <w:r/>
            <w:r>
              <w:rPr>
                <w:rFonts w:ascii="Calibri" w:hAnsi="Calibri" w:cs="Calibri" w:eastAsia="Calibri"/>
                <w:b w:val="0"/>
                <w:i w:val="0"/>
                <w:color w:val="33404D"/>
                <w:sz w:val="19"/>
              </w:rPr>
              <w:t>Storage footprint</w:t>
            </w:r>
          </w:p>
        </w:tc>
        <w:tc>
          <w:tcPr>
            <w:tcW w:type="dxa" w:w="2466"/>
          </w:tcPr>
          <w:p>
            <w:r/>
            <w:r>
              <w:rPr>
                <w:rFonts w:ascii="Calibri" w:hAnsi="Calibri" w:cs="Calibri" w:eastAsia="Calibri"/>
                <w:b w:val="0"/>
                <w:i w:val="0"/>
                <w:color w:val="33404D"/>
                <w:sz w:val="19"/>
              </w:rPr>
              <w:t>Up to 50% reduction in storage footprint for typical enterprise workloads.</w:t>
            </w:r>
          </w:p>
        </w:tc>
        <w:tc>
          <w:tcPr>
            <w:tcW w:type="dxa" w:w="2466"/>
          </w:tcPr>
          <w:p>
            <w:r/>
            <w:r>
              <w:rPr>
                <w:rFonts w:ascii="Calibri" w:hAnsi="Calibri" w:cs="Calibri" w:eastAsia="Calibri"/>
                <w:b w:val="0"/>
                <w:i w:val="0"/>
                <w:color w:val="33404D"/>
                <w:sz w:val="19"/>
              </w:rPr>
              <w:t>MASTER-REFERENCE.</w:t>
            </w:r>
          </w:p>
        </w:tc>
        <w:tc>
          <w:tcPr>
            <w:tcW w:type="dxa" w:w="2466"/>
          </w:tcPr>
          <w:p>
            <w:r/>
            <w:r>
              <w:rPr>
                <w:rFonts w:ascii="Calibri" w:hAnsi="Calibri" w:cs="Calibri" w:eastAsia="Calibri"/>
                <w:b w:val="0"/>
                <w:i w:val="0"/>
                <w:color w:val="33404D"/>
                <w:sz w:val="19"/>
              </w:rPr>
              <w:t>Approved.</w:t>
            </w:r>
          </w:p>
        </w:tc>
      </w:tr>
      <w:tr>
        <w:tc>
          <w:tcPr>
            <w:tcW w:type="dxa" w:w="2466"/>
          </w:tcPr>
          <w:p>
            <w:r/>
            <w:r>
              <w:rPr>
                <w:rFonts w:ascii="Calibri" w:hAnsi="Calibri" w:cs="Calibri" w:eastAsia="Calibri"/>
                <w:b w:val="0"/>
                <w:i w:val="0"/>
                <w:color w:val="33404D"/>
                <w:sz w:val="19"/>
              </w:rPr>
              <w:t>Bandwidth/compute cost</w:t>
            </w:r>
          </w:p>
        </w:tc>
        <w:tc>
          <w:tcPr>
            <w:tcW w:type="dxa" w:w="2466"/>
          </w:tcPr>
          <w:p>
            <w:r/>
            <w:r>
              <w:rPr>
                <w:rFonts w:ascii="Calibri" w:hAnsi="Calibri" w:cs="Calibri" w:eastAsia="Calibri"/>
                <w:b w:val="0"/>
                <w:i w:val="0"/>
                <w:color w:val="33404D"/>
                <w:sz w:val="19"/>
              </w:rPr>
              <w:t>Up to 40% reduction in compute and bandwidth cost.</w:t>
            </w:r>
          </w:p>
        </w:tc>
        <w:tc>
          <w:tcPr>
            <w:tcW w:type="dxa" w:w="2466"/>
          </w:tcPr>
          <w:p>
            <w:r/>
            <w:r>
              <w:rPr>
                <w:rFonts w:ascii="Calibri" w:hAnsi="Calibri" w:cs="Calibri" w:eastAsia="Calibri"/>
                <w:b w:val="0"/>
                <w:i w:val="0"/>
                <w:color w:val="33404D"/>
                <w:sz w:val="19"/>
              </w:rPr>
              <w:t>MASTER-REFERENCE.</w:t>
            </w:r>
          </w:p>
        </w:tc>
        <w:tc>
          <w:tcPr>
            <w:tcW w:type="dxa" w:w="2466"/>
          </w:tcPr>
          <w:p>
            <w:r/>
            <w:r>
              <w:rPr>
                <w:rFonts w:ascii="Calibri" w:hAnsi="Calibri" w:cs="Calibri" w:eastAsia="Calibri"/>
                <w:b w:val="0"/>
                <w:i w:val="0"/>
                <w:color w:val="33404D"/>
                <w:sz w:val="19"/>
              </w:rPr>
              <w:t>Approved.</w:t>
            </w:r>
          </w:p>
        </w:tc>
      </w:tr>
      <w:tr>
        <w:tc>
          <w:tcPr>
            <w:tcW w:type="dxa" w:w="2466"/>
          </w:tcPr>
          <w:p>
            <w:r/>
            <w:r>
              <w:rPr>
                <w:rFonts w:ascii="Calibri" w:hAnsi="Calibri" w:cs="Calibri" w:eastAsia="Calibri"/>
                <w:b w:val="0"/>
                <w:i w:val="0"/>
                <w:color w:val="33404D"/>
                <w:sz w:val="19"/>
              </w:rPr>
              <w:t>GPU-free</w:t>
            </w:r>
          </w:p>
        </w:tc>
        <w:tc>
          <w:tcPr>
            <w:tcW w:type="dxa" w:w="2466"/>
          </w:tcPr>
          <w:p>
            <w:r/>
            <w:r>
              <w:rPr>
                <w:rFonts w:ascii="Calibri" w:hAnsi="Calibri" w:cs="Calibri" w:eastAsia="Calibri"/>
                <w:b w:val="0"/>
                <w:i w:val="0"/>
                <w:color w:val="33404D"/>
                <w:sz w:val="19"/>
              </w:rPr>
              <w:t>Jam's core software data plane does not require GPUs; it can extend hardware life and lower power/cooling demand.</w:t>
            </w:r>
          </w:p>
        </w:tc>
        <w:tc>
          <w:tcPr>
            <w:tcW w:type="dxa" w:w="2466"/>
          </w:tcPr>
          <w:p>
            <w:r/>
            <w:r>
              <w:rPr>
                <w:rFonts w:ascii="Calibri" w:hAnsi="Calibri" w:cs="Calibri" w:eastAsia="Calibri"/>
                <w:b w:val="0"/>
                <w:i w:val="0"/>
                <w:color w:val="33404D"/>
                <w:sz w:val="19"/>
              </w:rPr>
              <w:t>MASTER-REFERENCE KIC table; ITB docs.</w:t>
            </w:r>
          </w:p>
        </w:tc>
        <w:tc>
          <w:tcPr>
            <w:tcW w:type="dxa" w:w="2466"/>
          </w:tcPr>
          <w:p>
            <w:r/>
            <w:r>
              <w:rPr>
                <w:rFonts w:ascii="Calibri" w:hAnsi="Calibri" w:cs="Calibri" w:eastAsia="Calibri"/>
                <w:b w:val="0"/>
                <w:i w:val="0"/>
                <w:color w:val="33404D"/>
                <w:sz w:val="19"/>
              </w:rPr>
              <w:t>Approved; do not imply all training avoids GPUs.</w:t>
            </w:r>
          </w:p>
        </w:tc>
      </w:tr>
      <w:tr>
        <w:tc>
          <w:tcPr>
            <w:tcW w:type="dxa" w:w="2466"/>
          </w:tcPr>
          <w:p>
            <w:r/>
            <w:r>
              <w:rPr>
                <w:rFonts w:ascii="Calibri" w:hAnsi="Calibri" w:cs="Calibri" w:eastAsia="Calibri"/>
                <w:b w:val="0"/>
                <w:i w:val="0"/>
                <w:color w:val="33404D"/>
                <w:sz w:val="19"/>
              </w:rPr>
              <w:t>Security model</w:t>
            </w:r>
          </w:p>
        </w:tc>
        <w:tc>
          <w:tcPr>
            <w:tcW w:type="dxa" w:w="2466"/>
          </w:tcPr>
          <w:p>
            <w:r/>
            <w:r>
              <w:rPr>
                <w:rFonts w:ascii="Calibri" w:hAnsi="Calibri" w:cs="Calibri" w:eastAsia="Calibri"/>
                <w:b w:val="0"/>
                <w:i w:val="0"/>
                <w:color w:val="33404D"/>
                <w:sz w:val="19"/>
              </w:rPr>
              <w:t>Keyless-at-rest means deterministic key derivation from seed material; no key distribution and no key storage at rest.</w:t>
            </w:r>
          </w:p>
        </w:tc>
        <w:tc>
          <w:tcPr>
            <w:tcW w:type="dxa" w:w="2466"/>
          </w:tcPr>
          <w:p>
            <w:r/>
            <w:r>
              <w:rPr>
                <w:rFonts w:ascii="Calibri" w:hAnsi="Calibri" w:cs="Calibri" w:eastAsia="Calibri"/>
                <w:b w:val="0"/>
                <w:i w:val="0"/>
                <w:color w:val="33404D"/>
                <w:sz w:val="19"/>
              </w:rPr>
              <w:t>MASTER-REFERENCE; MITM; JSL; SLA.</w:t>
            </w:r>
          </w:p>
        </w:tc>
        <w:tc>
          <w:tcPr>
            <w:tcW w:type="dxa" w:w="2466"/>
          </w:tcPr>
          <w:p>
            <w:r/>
            <w:r>
              <w:rPr>
                <w:rFonts w:ascii="Calibri" w:hAnsi="Calibri" w:cs="Calibri" w:eastAsia="Calibri"/>
                <w:b w:val="0"/>
                <w:i w:val="0"/>
                <w:color w:val="33404D"/>
                <w:sz w:val="19"/>
              </w:rPr>
              <w:t>Approved.</w:t>
            </w:r>
          </w:p>
        </w:tc>
      </w:tr>
      <w:tr>
        <w:tc>
          <w:tcPr>
            <w:tcW w:type="dxa" w:w="2466"/>
          </w:tcPr>
          <w:p>
            <w:r/>
            <w:r>
              <w:rPr>
                <w:rFonts w:ascii="Calibri" w:hAnsi="Calibri" w:cs="Calibri" w:eastAsia="Calibri"/>
                <w:b w:val="0"/>
                <w:i w:val="0"/>
                <w:color w:val="33404D"/>
                <w:sz w:val="19"/>
              </w:rPr>
              <w:t>PQC posture</w:t>
            </w:r>
          </w:p>
        </w:tc>
        <w:tc>
          <w:tcPr>
            <w:tcW w:type="dxa" w:w="2466"/>
          </w:tcPr>
          <w:p>
            <w:r/>
            <w:r>
              <w:rPr>
                <w:rFonts w:ascii="Calibri" w:hAnsi="Calibri" w:cs="Calibri" w:eastAsia="Calibri"/>
                <w:b w:val="0"/>
                <w:i w:val="0"/>
                <w:color w:val="33404D"/>
                <w:sz w:val="19"/>
              </w:rPr>
              <w:t>FIPS 140/2 compliant today; FIPS 140/3 planned; migration path to FIPS 203 ML-KEM and FIPS 204 ML-DSA.</w:t>
            </w:r>
          </w:p>
        </w:tc>
        <w:tc>
          <w:tcPr>
            <w:tcW w:type="dxa" w:w="2466"/>
          </w:tcPr>
          <w:p>
            <w:r/>
            <w:r>
              <w:rPr>
                <w:rFonts w:ascii="Calibri" w:hAnsi="Calibri" w:cs="Calibri" w:eastAsia="Calibri"/>
                <w:b w:val="0"/>
                <w:i w:val="0"/>
                <w:color w:val="33404D"/>
                <w:sz w:val="19"/>
              </w:rPr>
              <w:t>MASTER-REFERENCE; MITM; JSL.</w:t>
            </w:r>
          </w:p>
        </w:tc>
        <w:tc>
          <w:tcPr>
            <w:tcW w:type="dxa" w:w="2466"/>
          </w:tcPr>
          <w:p>
            <w:r/>
            <w:r>
              <w:rPr>
                <w:rFonts w:ascii="Calibri" w:hAnsi="Calibri" w:cs="Calibri" w:eastAsia="Calibri"/>
                <w:b w:val="0"/>
                <w:i w:val="0"/>
                <w:color w:val="33404D"/>
                <w:sz w:val="19"/>
              </w:rPr>
              <w:t>Approved; not FIPS 140/3 certified yet.</w:t>
            </w:r>
          </w:p>
        </w:tc>
      </w:tr>
      <w:tr>
        <w:tc>
          <w:tcPr>
            <w:tcW w:type="dxa" w:w="2466"/>
          </w:tcPr>
          <w:p>
            <w:r/>
            <w:r>
              <w:rPr>
                <w:rFonts w:ascii="Calibri" w:hAnsi="Calibri" w:cs="Calibri" w:eastAsia="Calibri"/>
                <w:b w:val="0"/>
                <w:i w:val="0"/>
                <w:color w:val="33404D"/>
                <w:sz w:val="19"/>
              </w:rPr>
              <w:t>SOC 2 / cross-standard posture</w:t>
            </w:r>
          </w:p>
        </w:tc>
        <w:tc>
          <w:tcPr>
            <w:tcW w:type="dxa" w:w="2466"/>
          </w:tcPr>
          <w:p>
            <w:r/>
            <w:r>
              <w:rPr>
                <w:rFonts w:ascii="Calibri" w:hAnsi="Calibri" w:cs="Calibri" w:eastAsia="Calibri"/>
                <w:b w:val="0"/>
                <w:i w:val="0"/>
                <w:color w:val="33404D"/>
                <w:sz w:val="19"/>
              </w:rPr>
              <w:t>SOC 2 compliant. ISO 27001, ISO 27701, HIPAA, PCI-DSS, RBI, CERT-In, MeitY, and DPDP listed as aligned (control mapping available) until certification or empanelment is complete.</w:t>
            </w:r>
          </w:p>
        </w:tc>
        <w:tc>
          <w:tcPr>
            <w:tcW w:type="dxa" w:w="2466"/>
          </w:tcPr>
          <w:p>
            <w:r/>
            <w:r>
              <w:rPr>
                <w:rFonts w:ascii="Calibri" w:hAnsi="Calibri" w:cs="Calibri" w:eastAsia="Calibri"/>
                <w:b w:val="0"/>
                <w:i w:val="0"/>
                <w:color w:val="33404D"/>
                <w:sz w:val="19"/>
              </w:rPr>
              <w:t>Cithorum SOC 2 attestation document (dataroom, NDA); control mapping spreadsheet (dataroom).</w:t>
            </w:r>
          </w:p>
        </w:tc>
        <w:tc>
          <w:tcPr>
            <w:tcW w:type="dxa" w:w="2466"/>
          </w:tcPr>
          <w:p>
            <w:r/>
            <w:r>
              <w:rPr>
                <w:rFonts w:ascii="Calibri" w:hAnsi="Calibri" w:cs="Calibri" w:eastAsia="Calibri"/>
                <w:b w:val="0"/>
                <w:i w:val="0"/>
                <w:color w:val="33404D"/>
                <w:sz w:val="19"/>
              </w:rPr>
              <w:t>Approved with grade qualifier.</w:t>
            </w:r>
          </w:p>
        </w:tc>
      </w:tr>
    </w:tbl>
    <w:p>
      <w:pPr>
        <w:spacing w:before="280" w:after="80"/>
      </w:pPr>
      <w:r>
        <w:rPr>
          <w:rFonts w:ascii="Calibri" w:hAnsi="Calibri" w:cs="Calibri" w:eastAsia="Calibri"/>
          <w:b/>
          <w:i w:val="0"/>
          <w:color w:val="0B3A5B"/>
          <w:sz w:val="30"/>
        </w:rPr>
        <w:t>2. Benchmark Methodology Claims</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Aspect</w:t>
            </w:r>
          </w:p>
        </w:tc>
        <w:tc>
          <w:tcPr>
            <w:tcW w:type="dxa" w:w="3289"/>
            <w:shd w:val="clear" w:color="auto" w:fill="EAF2F8"/>
          </w:tcPr>
          <w:p>
            <w:r/>
            <w:r>
              <w:rPr>
                <w:rFonts w:ascii="Calibri" w:hAnsi="Calibri" w:cs="Calibri" w:eastAsia="Calibri"/>
                <w:b/>
                <w:i w:val="0"/>
                <w:color w:val="0B3A5B"/>
                <w:sz w:val="19"/>
              </w:rPr>
              <w:t>Canonical value</w:t>
            </w:r>
          </w:p>
        </w:tc>
        <w:tc>
          <w:tcPr>
            <w:tcW w:type="dxa" w:w="3289"/>
            <w:shd w:val="clear" w:color="auto" w:fill="EAF2F8"/>
          </w:tcPr>
          <w:p>
            <w:r/>
            <w:r>
              <w:rPr>
                <w:rFonts w:ascii="Calibri" w:hAnsi="Calibri" w:cs="Calibri" w:eastAsia="Calibri"/>
                <w:b/>
                <w:i w:val="0"/>
                <w:color w:val="0B3A5B"/>
                <w:sz w:val="19"/>
              </w:rPr>
              <w:t>Notes</w:t>
            </w:r>
          </w:p>
        </w:tc>
      </w:tr>
      <w:tr>
        <w:tc>
          <w:tcPr>
            <w:tcW w:type="dxa" w:w="3289"/>
          </w:tcPr>
          <w:p>
            <w:r/>
            <w:r>
              <w:rPr>
                <w:rFonts w:ascii="Calibri" w:hAnsi="Calibri" w:cs="Calibri" w:eastAsia="Calibri"/>
                <w:b w:val="0"/>
                <w:i w:val="0"/>
                <w:color w:val="33404D"/>
                <w:sz w:val="19"/>
              </w:rPr>
              <w:t>Corpus</w:t>
            </w:r>
          </w:p>
        </w:tc>
        <w:tc>
          <w:tcPr>
            <w:tcW w:type="dxa" w:w="3289"/>
          </w:tcPr>
          <w:p>
            <w:r/>
            <w:r>
              <w:rPr>
                <w:rFonts w:ascii="Calibri" w:hAnsi="Calibri" w:cs="Calibri" w:eastAsia="Calibri"/>
                <w:b w:val="0"/>
                <w:i w:val="0"/>
                <w:color w:val="33404D"/>
                <w:sz w:val="19"/>
              </w:rPr>
              <w:t>64 TB aggregate across five 12.8 TB workload classes.</w:t>
            </w:r>
          </w:p>
        </w:tc>
        <w:tc>
          <w:tcPr>
            <w:tcW w:type="dxa" w:w="3289"/>
          </w:tcPr>
          <w:p>
            <w:r/>
            <w:r>
              <w:rPr>
                <w:rFonts w:ascii="Calibri" w:hAnsi="Calibri" w:cs="Calibri" w:eastAsia="Calibri"/>
                <w:b w:val="0"/>
                <w:i w:val="0"/>
                <w:color w:val="33404D"/>
                <w:sz w:val="19"/>
              </w:rPr>
              <w:t>Sparse telemetry, mixed log, document, binary-heavy, pre-compressed.</w:t>
            </w:r>
          </w:p>
        </w:tc>
      </w:tr>
      <w:tr>
        <w:tc>
          <w:tcPr>
            <w:tcW w:type="dxa" w:w="3289"/>
          </w:tcPr>
          <w:p>
            <w:r/>
            <w:r>
              <w:rPr>
                <w:rFonts w:ascii="Calibri" w:hAnsi="Calibri" w:cs="Calibri" w:eastAsia="Calibri"/>
                <w:b w:val="0"/>
                <w:i w:val="0"/>
                <w:color w:val="33404D"/>
                <w:sz w:val="19"/>
              </w:rPr>
              <w:t>Reference rig</w:t>
            </w:r>
          </w:p>
        </w:tc>
        <w:tc>
          <w:tcPr>
            <w:tcW w:type="dxa" w:w="3289"/>
          </w:tcPr>
          <w:p>
            <w:r/>
            <w:r>
              <w:rPr>
                <w:rFonts w:ascii="Calibri" w:hAnsi="Calibri" w:cs="Calibri" w:eastAsia="Calibri"/>
                <w:b w:val="0"/>
                <w:i w:val="0"/>
                <w:color w:val="33404D"/>
                <w:sz w:val="19"/>
              </w:rPr>
              <w:t>2× AMD EPYC 7543, 512 GB RAM, 4× 7.68 TB NVMe, 100 GbE.</w:t>
            </w:r>
          </w:p>
        </w:tc>
        <w:tc>
          <w:tcPr>
            <w:tcW w:type="dxa" w:w="3289"/>
          </w:tcPr>
          <w:p>
            <w:r/>
            <w:r>
              <w:rPr>
                <w:rFonts w:ascii="Calibri" w:hAnsi="Calibri" w:cs="Calibri" w:eastAsia="Calibri"/>
                <w:b w:val="0"/>
                <w:i w:val="0"/>
                <w:color w:val="33404D"/>
                <w:sz w:val="19"/>
              </w:rPr>
              <w:t>Do not generalise throughput beyond this class of hardware.</w:t>
            </w:r>
          </w:p>
        </w:tc>
      </w:tr>
      <w:tr>
        <w:tc>
          <w:tcPr>
            <w:tcW w:type="dxa" w:w="3289"/>
          </w:tcPr>
          <w:p>
            <w:r/>
            <w:r>
              <w:rPr>
                <w:rFonts w:ascii="Calibri" w:hAnsi="Calibri" w:cs="Calibri" w:eastAsia="Calibri"/>
                <w:b w:val="0"/>
                <w:i w:val="0"/>
                <w:color w:val="33404D"/>
                <w:sz w:val="19"/>
              </w:rPr>
              <w:t>Software base</w:t>
            </w:r>
          </w:p>
        </w:tc>
        <w:tc>
          <w:tcPr>
            <w:tcW w:type="dxa" w:w="3289"/>
          </w:tcPr>
          <w:p>
            <w:r/>
            <w:r>
              <w:rPr>
                <w:rFonts w:ascii="Calibri" w:hAnsi="Calibri" w:cs="Calibri" w:eastAsia="Calibri"/>
                <w:b w:val="0"/>
                <w:i w:val="0"/>
                <w:color w:val="33404D"/>
                <w:sz w:val="19"/>
              </w:rPr>
              <w:t>Ubuntu 22.04 LTS, kernel 5.15, io_uring enabled, Jam 2.1.x stable.</w:t>
            </w:r>
          </w:p>
        </w:tc>
        <w:tc>
          <w:tcPr>
            <w:tcW w:type="dxa" w:w="3289"/>
          </w:tcPr>
          <w:p>
            <w:r/>
            <w:r>
              <w:rPr>
                <w:rFonts w:ascii="Calibri" w:hAnsi="Calibri" w:cs="Calibri" w:eastAsia="Calibri"/>
                <w:b w:val="0"/>
                <w:i w:val="0"/>
                <w:color w:val="33404D"/>
                <w:sz w:val="19"/>
              </w:rPr>
              <w:t>Use for reproducibility.</w:t>
            </w:r>
          </w:p>
        </w:tc>
      </w:tr>
      <w:tr>
        <w:tc>
          <w:tcPr>
            <w:tcW w:type="dxa" w:w="3289"/>
          </w:tcPr>
          <w:p>
            <w:r/>
            <w:r>
              <w:rPr>
                <w:rFonts w:ascii="Calibri" w:hAnsi="Calibri" w:cs="Calibri" w:eastAsia="Calibri"/>
                <w:b w:val="0"/>
                <w:i w:val="0"/>
                <w:color w:val="33404D"/>
                <w:sz w:val="19"/>
              </w:rPr>
              <w:t>Statistical treatment</w:t>
            </w:r>
          </w:p>
        </w:tc>
        <w:tc>
          <w:tcPr>
            <w:tcW w:type="dxa" w:w="3289"/>
          </w:tcPr>
          <w:p>
            <w:r/>
            <w:r>
              <w:rPr>
                <w:rFonts w:ascii="Calibri" w:hAnsi="Calibri" w:cs="Calibri" w:eastAsia="Calibri"/>
                <w:b w:val="0"/>
                <w:i w:val="0"/>
                <w:color w:val="33404D"/>
                <w:sz w:val="19"/>
              </w:rPr>
              <w:t>Median of five runs, with IQR and raw results retained.</w:t>
            </w:r>
          </w:p>
        </w:tc>
        <w:tc>
          <w:tcPr>
            <w:tcW w:type="dxa" w:w="3289"/>
          </w:tcPr>
          <w:p>
            <w:r/>
            <w:r>
              <w:rPr>
                <w:rFonts w:ascii="Calibri" w:hAnsi="Calibri" w:cs="Calibri" w:eastAsia="Calibri"/>
                <w:b w:val="0"/>
                <w:i w:val="0"/>
                <w:color w:val="33404D"/>
                <w:sz w:val="19"/>
              </w:rPr>
              <w:t>Scale-AI scope expects third-party reproduction within ±10%.</w:t>
            </w:r>
          </w:p>
        </w:tc>
      </w:tr>
      <w:tr>
        <w:tc>
          <w:tcPr>
            <w:tcW w:type="dxa" w:w="3289"/>
          </w:tcPr>
          <w:p>
            <w:r/>
            <w:r>
              <w:rPr>
                <w:rFonts w:ascii="Calibri" w:hAnsi="Calibri" w:cs="Calibri" w:eastAsia="Calibri"/>
                <w:b w:val="0"/>
                <w:i w:val="0"/>
                <w:color w:val="33404D"/>
                <w:sz w:val="19"/>
              </w:rPr>
              <w:t>Backup-tier benchmark (rsync comparator)</w:t>
            </w:r>
          </w:p>
        </w:tc>
        <w:tc>
          <w:tcPr>
            <w:tcW w:type="dxa" w:w="3289"/>
          </w:tcPr>
          <w:p>
            <w:r/>
            <w:r>
              <w:rPr>
                <w:rFonts w:ascii="Calibri" w:hAnsi="Calibri" w:cs="Calibri" w:eastAsia="Calibri"/>
                <w:b w:val="0"/>
                <w:i w:val="0"/>
                <w:color w:val="33404D"/>
                <w:sz w:val="19"/>
              </w:rPr>
              <w:t>April 2026: 123 GB backup workload reduced to ~1.18 GB; comparator was rsync (default delta-transfer mode).</w:t>
            </w:r>
          </w:p>
        </w:tc>
        <w:tc>
          <w:tcPr>
            <w:tcW w:type="dxa" w:w="3289"/>
          </w:tcPr>
          <w:p>
            <w:r/>
            <w:r>
              <w:rPr>
                <w:rFonts w:ascii="Calibri" w:hAnsi="Calibri" w:cs="Calibri" w:eastAsia="Calibri"/>
                <w:b w:val="0"/>
                <w:i w:val="0"/>
                <w:color w:val="33404D"/>
                <w:sz w:val="19"/>
              </w:rPr>
              <w:t>Backup-tier corpus; encoder NVMe random-read bound at 281 MB/s; recording videopress.com/v/w4Z0jvUC.</w:t>
            </w:r>
          </w:p>
        </w:tc>
      </w:tr>
    </w:tbl>
    <w:p>
      <w:pPr>
        <w:spacing w:before="280" w:after="80"/>
      </w:pPr>
      <w:r>
        <w:rPr>
          <w:rFonts w:ascii="Calibri" w:hAnsi="Calibri" w:cs="Calibri" w:eastAsia="Calibri"/>
          <w:b/>
          <w:i w:val="0"/>
          <w:color w:val="0B3A5B"/>
          <w:sz w:val="30"/>
        </w:rPr>
        <w:t>3. Historical Trials, Demos, and Proof Points</w:t>
      </w:r>
    </w:p>
    <w:tbl>
      <w:tblPr>
        <w:tblStyle w:val="LightGrid"/>
        <w:tblW w:type="auto" w:w="0"/>
        <w:tblLook w:firstColumn="1" w:firstRow="1" w:lastColumn="0" w:lastRow="0" w:noHBand="0" w:noVBand="1" w:val="04A0"/>
      </w:tblPr>
      <w:tblGrid>
        <w:gridCol w:w="2466"/>
        <w:gridCol w:w="2466"/>
        <w:gridCol w:w="2466"/>
        <w:gridCol w:w="2466"/>
      </w:tblGrid>
      <w:tr>
        <w:tc>
          <w:tcPr>
            <w:tcW w:type="dxa" w:w="2466"/>
            <w:shd w:val="clear" w:color="auto" w:fill="EAF2F8"/>
          </w:tcPr>
          <w:p>
            <w:r/>
            <w:r>
              <w:rPr>
                <w:rFonts w:ascii="Calibri" w:hAnsi="Calibri" w:cs="Calibri" w:eastAsia="Calibri"/>
                <w:b/>
                <w:i w:val="0"/>
                <w:color w:val="0B3A5B"/>
                <w:sz w:val="19"/>
              </w:rPr>
              <w:t>Source</w:t>
            </w:r>
          </w:p>
        </w:tc>
        <w:tc>
          <w:tcPr>
            <w:tcW w:type="dxa" w:w="2466"/>
            <w:shd w:val="clear" w:color="auto" w:fill="EAF2F8"/>
          </w:tcPr>
          <w:p>
            <w:r/>
            <w:r>
              <w:rPr>
                <w:rFonts w:ascii="Calibri" w:hAnsi="Calibri" w:cs="Calibri" w:eastAsia="Calibri"/>
                <w:b/>
                <w:i w:val="0"/>
                <w:color w:val="0B3A5B"/>
                <w:sz w:val="19"/>
              </w:rPr>
              <w:t>Truth-grounded statement</w:t>
            </w:r>
          </w:p>
        </w:tc>
        <w:tc>
          <w:tcPr>
            <w:tcW w:type="dxa" w:w="2466"/>
            <w:shd w:val="clear" w:color="auto" w:fill="EAF2F8"/>
          </w:tcPr>
          <w:p>
            <w:r/>
            <w:r>
              <w:rPr>
                <w:rFonts w:ascii="Calibri" w:hAnsi="Calibri" w:cs="Calibri" w:eastAsia="Calibri"/>
                <w:b/>
                <w:i w:val="0"/>
                <w:color w:val="0B3A5B"/>
                <w:sz w:val="19"/>
              </w:rPr>
              <w:t>Source</w:t>
            </w:r>
          </w:p>
        </w:tc>
        <w:tc>
          <w:tcPr>
            <w:tcW w:type="dxa" w:w="2466"/>
            <w:shd w:val="clear" w:color="auto" w:fill="EAF2F8"/>
          </w:tcPr>
          <w:p>
            <w:r/>
            <w:r>
              <w:rPr>
                <w:rFonts w:ascii="Calibri" w:hAnsi="Calibri" w:cs="Calibri" w:eastAsia="Calibri"/>
                <w:b/>
                <w:i w:val="0"/>
                <w:color w:val="0B3A5B"/>
                <w:sz w:val="19"/>
              </w:rPr>
              <w:t>External-use guidance</w:t>
            </w:r>
          </w:p>
        </w:tc>
      </w:tr>
      <w:tr>
        <w:tc>
          <w:tcPr>
            <w:tcW w:type="dxa" w:w="2466"/>
          </w:tcPr>
          <w:p>
            <w:r/>
            <w:r>
              <w:rPr>
                <w:rFonts w:ascii="Calibri" w:hAnsi="Calibri" w:cs="Calibri" w:eastAsia="Calibri"/>
                <w:b w:val="0"/>
                <w:i w:val="0"/>
                <w:color w:val="33404D"/>
                <w:sz w:val="19"/>
              </w:rPr>
              <w:t>Atreides IO demo</w:t>
            </w:r>
          </w:p>
        </w:tc>
        <w:tc>
          <w:tcPr>
            <w:tcW w:type="dxa" w:w="2466"/>
          </w:tcPr>
          <w:p>
            <w:r/>
            <w:r>
              <w:rPr>
                <w:rFonts w:ascii="Calibri" w:hAnsi="Calibri" w:cs="Calibri" w:eastAsia="Calibri"/>
                <w:b w:val="0"/>
                <w:i w:val="0"/>
                <w:color w:val="33404D"/>
                <w:sz w:val="19"/>
              </w:rPr>
              <w:t>50 GB big-data corpus compressed to 7 MB and reconstructed on a standard MacBook in under 5 minutes. Atreides operated a Cloud DNS / big-query service with more than 2,000 TB/month DNS requests and wanted Spark compatibility.</w:t>
            </w:r>
          </w:p>
        </w:tc>
        <w:tc>
          <w:tcPr>
            <w:tcW w:type="dxa" w:w="2466"/>
          </w:tcPr>
          <w:p>
            <w:r/>
            <w:r>
              <w:rPr>
                <w:rFonts w:ascii="Calibri" w:hAnsi="Calibri" w:cs="Calibri" w:eastAsia="Calibri"/>
                <w:b w:val="0"/>
                <w:i w:val="0"/>
                <w:color w:val="33404D"/>
                <w:sz w:val="19"/>
              </w:rPr>
              <w:t>JAM Legacy Deck; Cithorum Jam Company Deck; user correction.</w:t>
            </w:r>
          </w:p>
        </w:tc>
        <w:tc>
          <w:tcPr>
            <w:tcW w:type="dxa" w:w="2466"/>
          </w:tcPr>
          <w:p>
            <w:r/>
            <w:r>
              <w:rPr>
                <w:rFonts w:ascii="Calibri" w:hAnsi="Calibri" w:cs="Calibri" w:eastAsia="Calibri"/>
                <w:b w:val="0"/>
                <w:i w:val="0"/>
                <w:color w:val="33404D"/>
                <w:sz w:val="19"/>
              </w:rPr>
              <w:t>Use as demo proof and roadmap driver. Do not market 7,000:1 as typical.</w:t>
            </w:r>
          </w:p>
        </w:tc>
      </w:tr>
      <w:tr>
        <w:tc>
          <w:tcPr>
            <w:tcW w:type="dxa" w:w="2466"/>
          </w:tcPr>
          <w:p>
            <w:r/>
            <w:r>
              <w:rPr>
                <w:rFonts w:ascii="Calibri" w:hAnsi="Calibri" w:cs="Calibri" w:eastAsia="Calibri"/>
                <w:b w:val="0"/>
                <w:i w:val="0"/>
                <w:color w:val="33404D"/>
                <w:sz w:val="19"/>
              </w:rPr>
              <w:t>Atreides quote</w:t>
            </w:r>
          </w:p>
        </w:tc>
        <w:tc>
          <w:tcPr>
            <w:tcW w:type="dxa" w:w="2466"/>
          </w:tcPr>
          <w:p>
            <w:r/>
            <w:r>
              <w:rPr>
                <w:rFonts w:ascii="Calibri" w:hAnsi="Calibri" w:cs="Calibri" w:eastAsia="Calibri"/>
                <w:b w:val="0"/>
                <w:i w:val="0"/>
                <w:color w:val="33404D"/>
                <w:sz w:val="19"/>
              </w:rPr>
              <w:t>"What JAM has done is changed the game."</w:t>
            </w:r>
          </w:p>
        </w:tc>
        <w:tc>
          <w:tcPr>
            <w:tcW w:type="dxa" w:w="2466"/>
          </w:tcPr>
          <w:p>
            <w:r/>
            <w:r>
              <w:rPr>
                <w:rFonts w:ascii="Calibri" w:hAnsi="Calibri" w:cs="Calibri" w:eastAsia="Calibri"/>
                <w:b w:val="0"/>
                <w:i w:val="0"/>
                <w:color w:val="33404D"/>
                <w:sz w:val="19"/>
              </w:rPr>
              <w:t>Cithorum Jam Company Deck; Cithorum proof register.</w:t>
            </w:r>
          </w:p>
        </w:tc>
        <w:tc>
          <w:tcPr>
            <w:tcW w:type="dxa" w:w="2466"/>
          </w:tcPr>
          <w:p>
            <w:r/>
            <w:r>
              <w:rPr>
                <w:rFonts w:ascii="Calibri" w:hAnsi="Calibri" w:cs="Calibri" w:eastAsia="Calibri"/>
                <w:b w:val="0"/>
                <w:i w:val="0"/>
                <w:color w:val="33404D"/>
                <w:sz w:val="19"/>
              </w:rPr>
              <w:t>Safe as testimonial if permission/logos are cleared.</w:t>
            </w:r>
          </w:p>
        </w:tc>
      </w:tr>
      <w:tr>
        <w:tc>
          <w:tcPr>
            <w:tcW w:type="dxa" w:w="2466"/>
          </w:tcPr>
          <w:p>
            <w:r/>
            <w:r>
              <w:rPr>
                <w:rFonts w:ascii="Calibri" w:hAnsi="Calibri" w:cs="Calibri" w:eastAsia="Calibri"/>
                <w:b w:val="0"/>
                <w:i w:val="0"/>
                <w:color w:val="33404D"/>
                <w:sz w:val="19"/>
              </w:rPr>
              <w:t>NVIDIA quote</w:t>
            </w:r>
          </w:p>
        </w:tc>
        <w:tc>
          <w:tcPr>
            <w:tcW w:type="dxa" w:w="2466"/>
          </w:tcPr>
          <w:p>
            <w:r/>
            <w:r>
              <w:rPr>
                <w:rFonts w:ascii="Calibri" w:hAnsi="Calibri" w:cs="Calibri" w:eastAsia="Calibri"/>
                <w:b w:val="0"/>
                <w:i w:val="0"/>
                <w:color w:val="33404D"/>
                <w:sz w:val="19"/>
              </w:rPr>
              <w:t>"I think I just witnessed accelerated compute."</w:t>
            </w:r>
          </w:p>
        </w:tc>
        <w:tc>
          <w:tcPr>
            <w:tcW w:type="dxa" w:w="2466"/>
          </w:tcPr>
          <w:p>
            <w:r/>
            <w:r>
              <w:rPr>
                <w:rFonts w:ascii="Calibri" w:hAnsi="Calibri" w:cs="Calibri" w:eastAsia="Calibri"/>
                <w:b w:val="0"/>
                <w:i w:val="0"/>
                <w:color w:val="33404D"/>
                <w:sz w:val="19"/>
              </w:rPr>
              <w:t>Cithorum Jam Company Deck; Cithorum proof register.</w:t>
            </w:r>
          </w:p>
        </w:tc>
        <w:tc>
          <w:tcPr>
            <w:tcW w:type="dxa" w:w="2466"/>
          </w:tcPr>
          <w:p>
            <w:r/>
            <w:r>
              <w:rPr>
                <w:rFonts w:ascii="Calibri" w:hAnsi="Calibri" w:cs="Calibri" w:eastAsia="Calibri"/>
                <w:b w:val="0"/>
                <w:i w:val="0"/>
                <w:color w:val="33404D"/>
                <w:sz w:val="19"/>
              </w:rPr>
              <w:t>Safe as testimonial if programme/badge permissions are cleared.</w:t>
            </w:r>
          </w:p>
        </w:tc>
      </w:tr>
      <w:tr>
        <w:tc>
          <w:tcPr>
            <w:tcW w:type="dxa" w:w="2466"/>
          </w:tcPr>
          <w:p>
            <w:r/>
            <w:r>
              <w:rPr>
                <w:rFonts w:ascii="Calibri" w:hAnsi="Calibri" w:cs="Calibri" w:eastAsia="Calibri"/>
                <w:b w:val="0"/>
                <w:i w:val="0"/>
                <w:color w:val="33404D"/>
                <w:sz w:val="19"/>
              </w:rPr>
              <w:t>NVIDIA Inception</w:t>
            </w:r>
          </w:p>
        </w:tc>
        <w:tc>
          <w:tcPr>
            <w:tcW w:type="dxa" w:w="2466"/>
          </w:tcPr>
          <w:p>
            <w:r/>
            <w:r>
              <w:rPr>
                <w:rFonts w:ascii="Calibri" w:hAnsi="Calibri" w:cs="Calibri" w:eastAsia="Calibri"/>
                <w:b w:val="0"/>
                <w:i w:val="0"/>
                <w:color w:val="33404D"/>
                <w:sz w:val="19"/>
              </w:rPr>
              <w:t>NVIDIA Inception programme membership is supported by the Inception reception invitation, which states the email was sent via the Inception membership list.</w:t>
            </w:r>
          </w:p>
        </w:tc>
        <w:tc>
          <w:tcPr>
            <w:tcW w:type="dxa" w:w="2466"/>
          </w:tcPr>
          <w:p>
            <w:r/>
            <w:r>
              <w:rPr>
                <w:rFonts w:ascii="Calibri" w:hAnsi="Calibri" w:cs="Calibri" w:eastAsia="Calibri"/>
                <w:b w:val="0"/>
                <w:i w:val="0"/>
                <w:color w:val="33404D"/>
                <w:sz w:val="19"/>
              </w:rPr>
              <w:t>NVIDIA Inception reception invitation email PDF, April 29, 2026.</w:t>
            </w:r>
          </w:p>
        </w:tc>
        <w:tc>
          <w:tcPr>
            <w:tcW w:type="dxa" w:w="2466"/>
          </w:tcPr>
          <w:p>
            <w:r/>
            <w:r>
              <w:rPr>
                <w:rFonts w:ascii="Calibri" w:hAnsi="Calibri" w:cs="Calibri" w:eastAsia="Calibri"/>
                <w:b w:val="0"/>
                <w:i w:val="0"/>
                <w:color w:val="33404D"/>
                <w:sz w:val="19"/>
              </w:rPr>
              <w:t>Safe as programme membership / ecosystem validation; do not present as technical certification.</w:t>
            </w:r>
          </w:p>
        </w:tc>
      </w:tr>
      <w:tr>
        <w:tc>
          <w:tcPr>
            <w:tcW w:type="dxa" w:w="2466"/>
          </w:tcPr>
          <w:p>
            <w:r/>
            <w:r>
              <w:rPr>
                <w:rFonts w:ascii="Calibri" w:hAnsi="Calibri" w:cs="Calibri" w:eastAsia="Calibri"/>
                <w:b w:val="0"/>
                <w:i w:val="0"/>
                <w:color w:val="33404D"/>
                <w:sz w:val="19"/>
              </w:rPr>
              <w:t>NATO / UNITE-Brave</w:t>
            </w:r>
          </w:p>
        </w:tc>
        <w:tc>
          <w:tcPr>
            <w:tcW w:type="dxa" w:w="2466"/>
          </w:tcPr>
          <w:p>
            <w:r/>
            <w:r>
              <w:rPr>
                <w:rFonts w:ascii="Calibri" w:hAnsi="Calibri" w:cs="Calibri" w:eastAsia="Calibri"/>
                <w:b w:val="0"/>
                <w:i w:val="0"/>
                <w:color w:val="33404D"/>
                <w:sz w:val="19"/>
              </w:rPr>
              <w:t>The NATO Communications and Information Agency email thread supports access to the UNITE-Brave NATO web portal and registration / matchmaking path for the programme.</w:t>
            </w:r>
          </w:p>
        </w:tc>
        <w:tc>
          <w:tcPr>
            <w:tcW w:type="dxa" w:w="2466"/>
          </w:tcPr>
          <w:p>
            <w:r/>
            <w:r>
              <w:rPr>
                <w:rFonts w:ascii="Calibri" w:hAnsi="Calibri" w:cs="Calibri" w:eastAsia="Calibri"/>
                <w:b w:val="0"/>
                <w:i w:val="0"/>
                <w:color w:val="33404D"/>
                <w:sz w:val="19"/>
              </w:rPr>
              <w:t>Fwd_ RE_ UNITE - Brave NATO web portal now live.pdf.</w:t>
            </w:r>
          </w:p>
        </w:tc>
        <w:tc>
          <w:tcPr>
            <w:tcW w:type="dxa" w:w="2466"/>
          </w:tcPr>
          <w:p>
            <w:r/>
            <w:r>
              <w:rPr>
                <w:rFonts w:ascii="Calibri" w:hAnsi="Calibri" w:cs="Calibri" w:eastAsia="Calibri"/>
                <w:b w:val="0"/>
                <w:i w:val="0"/>
                <w:color w:val="33404D"/>
                <w:sz w:val="19"/>
              </w:rPr>
              <w:t>Use as NATO/UNITE portal access or approval; avoid implying Jam was technically endorsed by NATO.</w:t>
            </w:r>
          </w:p>
        </w:tc>
      </w:tr>
      <w:tr>
        <w:tc>
          <w:tcPr>
            <w:tcW w:type="dxa" w:w="2466"/>
          </w:tcPr>
          <w:p>
            <w:r/>
            <w:r>
              <w:rPr>
                <w:rFonts w:ascii="Calibri" w:hAnsi="Calibri" w:cs="Calibri" w:eastAsia="Calibri"/>
                <w:b w:val="0"/>
                <w:i w:val="0"/>
                <w:color w:val="33404D"/>
                <w:sz w:val="19"/>
              </w:rPr>
              <w:t>RTX / Raytheon ecosystem</w:t>
            </w:r>
          </w:p>
        </w:tc>
        <w:tc>
          <w:tcPr>
            <w:tcW w:type="dxa" w:w="2466"/>
          </w:tcPr>
          <w:p>
            <w:r/>
            <w:r>
              <w:rPr>
                <w:rFonts w:ascii="Calibri" w:hAnsi="Calibri" w:cs="Calibri" w:eastAsia="Calibri"/>
                <w:b w:val="0"/>
                <w:i w:val="0"/>
                <w:color w:val="33404D"/>
                <w:sz w:val="19"/>
              </w:rPr>
              <w:t>Supplier.io acceptance email says the profile was reviewed, approved, and added to the RTX ecosystem; user context identifies this as Raytheon's partner channel.</w:t>
            </w:r>
          </w:p>
        </w:tc>
        <w:tc>
          <w:tcPr>
            <w:tcW w:type="dxa" w:w="2466"/>
          </w:tcPr>
          <w:p>
            <w:r/>
            <w:r>
              <w:rPr>
                <w:rFonts w:ascii="Calibri" w:hAnsi="Calibri" w:cs="Calibri" w:eastAsia="Calibri"/>
                <w:b w:val="0"/>
                <w:i w:val="0"/>
                <w:color w:val="33404D"/>
                <w:sz w:val="19"/>
              </w:rPr>
              <w:t>Fwd_ Congratulations! Your profile has been accepted_.pdf.</w:t>
            </w:r>
          </w:p>
        </w:tc>
        <w:tc>
          <w:tcPr>
            <w:tcW w:type="dxa" w:w="2466"/>
          </w:tcPr>
          <w:p>
            <w:r/>
            <w:r>
              <w:rPr>
                <w:rFonts w:ascii="Calibri" w:hAnsi="Calibri" w:cs="Calibri" w:eastAsia="Calibri"/>
                <w:b w:val="0"/>
                <w:i w:val="0"/>
                <w:color w:val="33404D"/>
                <w:sz w:val="19"/>
              </w:rPr>
              <w:t>Use as approved RTX / Supplier.io profile access; not as a customer contract.</w:t>
            </w:r>
          </w:p>
        </w:tc>
      </w:tr>
      <w:tr>
        <w:tc>
          <w:tcPr>
            <w:tcW w:type="dxa" w:w="2466"/>
          </w:tcPr>
          <w:p>
            <w:r/>
            <w:r>
              <w:rPr>
                <w:rFonts w:ascii="Calibri" w:hAnsi="Calibri" w:cs="Calibri" w:eastAsia="Calibri"/>
                <w:b w:val="0"/>
                <w:i w:val="0"/>
                <w:color w:val="33404D"/>
                <w:sz w:val="19"/>
              </w:rPr>
              <w:t>ZenLaunchpad quote</w:t>
            </w:r>
          </w:p>
        </w:tc>
        <w:tc>
          <w:tcPr>
            <w:tcW w:type="dxa" w:w="2466"/>
          </w:tcPr>
          <w:p>
            <w:r/>
            <w:r>
              <w:rPr>
                <w:rFonts w:ascii="Calibri" w:hAnsi="Calibri" w:cs="Calibri" w:eastAsia="Calibri"/>
                <w:b w:val="0"/>
                <w:i w:val="0"/>
                <w:color w:val="33404D"/>
                <w:sz w:val="19"/>
              </w:rPr>
              <w:t>"JAM is way beyond MVP."</w:t>
            </w:r>
          </w:p>
        </w:tc>
        <w:tc>
          <w:tcPr>
            <w:tcW w:type="dxa" w:w="2466"/>
          </w:tcPr>
          <w:p>
            <w:r/>
            <w:r>
              <w:rPr>
                <w:rFonts w:ascii="Calibri" w:hAnsi="Calibri" w:cs="Calibri" w:eastAsia="Calibri"/>
                <w:b w:val="0"/>
                <w:i w:val="0"/>
                <w:color w:val="33404D"/>
                <w:sz w:val="19"/>
              </w:rPr>
              <w:t>Cithorum Jam Company Deck; Cithorum proof register.</w:t>
            </w:r>
          </w:p>
        </w:tc>
        <w:tc>
          <w:tcPr>
            <w:tcW w:type="dxa" w:w="2466"/>
          </w:tcPr>
          <w:p>
            <w:r/>
            <w:r>
              <w:rPr>
                <w:rFonts w:ascii="Calibri" w:hAnsi="Calibri" w:cs="Calibri" w:eastAsia="Calibri"/>
                <w:b w:val="0"/>
                <w:i w:val="0"/>
                <w:color w:val="33404D"/>
                <w:sz w:val="19"/>
              </w:rPr>
              <w:t>Safe as testimonial if permission cleared.</w:t>
            </w:r>
          </w:p>
        </w:tc>
      </w:tr>
      <w:tr>
        <w:tc>
          <w:tcPr>
            <w:tcW w:type="dxa" w:w="2466"/>
          </w:tcPr>
          <w:p>
            <w:r/>
            <w:r>
              <w:rPr>
                <w:rFonts w:ascii="Calibri" w:hAnsi="Calibri" w:cs="Calibri" w:eastAsia="Calibri"/>
                <w:b w:val="0"/>
                <w:i w:val="0"/>
                <w:color w:val="33404D"/>
                <w:sz w:val="19"/>
              </w:rPr>
              <w:t>SwissVault FASTQ</w:t>
            </w:r>
          </w:p>
        </w:tc>
        <w:tc>
          <w:tcPr>
            <w:tcW w:type="dxa" w:w="2466"/>
          </w:tcPr>
          <w:p>
            <w:r/>
            <w:r>
              <w:rPr>
                <w:rFonts w:ascii="Calibri" w:hAnsi="Calibri" w:cs="Calibri" w:eastAsia="Calibri"/>
                <w:b w:val="0"/>
                <w:i w:val="0"/>
                <w:color w:val="33404D"/>
                <w:sz w:val="19"/>
              </w:rPr>
              <w:t>12% smaller FASTQ DNA sequences; 22-minute alignment path versus 2.5 hours for the next closest state-of-the-art aligner.</w:t>
            </w:r>
          </w:p>
        </w:tc>
        <w:tc>
          <w:tcPr>
            <w:tcW w:type="dxa" w:w="2466"/>
          </w:tcPr>
          <w:p>
            <w:r/>
            <w:r>
              <w:rPr>
                <w:rFonts w:ascii="Calibri" w:hAnsi="Calibri" w:cs="Calibri" w:eastAsia="Calibri"/>
                <w:b w:val="0"/>
                <w:i w:val="0"/>
                <w:color w:val="33404D"/>
                <w:sz w:val="19"/>
              </w:rPr>
              <w:t>Direct user-supplied note, April 25, 2026; legacy deck confirms SwissVault DNA trial.</w:t>
            </w:r>
          </w:p>
        </w:tc>
        <w:tc>
          <w:tcPr>
            <w:tcW w:type="dxa" w:w="2466"/>
          </w:tcPr>
          <w:p>
            <w:r/>
            <w:r>
              <w:rPr>
                <w:rFonts w:ascii="Calibri" w:hAnsi="Calibri" w:cs="Calibri" w:eastAsia="Calibri"/>
                <w:b w:val="0"/>
                <w:i w:val="0"/>
                <w:color w:val="33404D"/>
                <w:sz w:val="19"/>
              </w:rPr>
              <w:t>Use as historical benchmark; attach formal run sheet before scientific publication.</w:t>
            </w:r>
          </w:p>
        </w:tc>
      </w:tr>
      <w:tr>
        <w:tc>
          <w:tcPr>
            <w:tcW w:type="dxa" w:w="2466"/>
          </w:tcPr>
          <w:p>
            <w:r/>
            <w:r>
              <w:rPr>
                <w:rFonts w:ascii="Calibri" w:hAnsi="Calibri" w:cs="Calibri" w:eastAsia="Calibri"/>
                <w:b w:val="0"/>
                <w:i w:val="0"/>
                <w:color w:val="33404D"/>
                <w:sz w:val="19"/>
              </w:rPr>
              <w:t>Human DNA storage</w:t>
            </w:r>
          </w:p>
        </w:tc>
        <w:tc>
          <w:tcPr>
            <w:tcW w:type="dxa" w:w="2466"/>
          </w:tcPr>
          <w:p>
            <w:r/>
            <w:r>
              <w:rPr>
                <w:rFonts w:ascii="Calibri" w:hAnsi="Calibri" w:cs="Calibri" w:eastAsia="Calibri"/>
                <w:b w:val="0"/>
                <w:i w:val="0"/>
                <w:color w:val="33404D"/>
                <w:sz w:val="19"/>
              </w:rPr>
              <w:t>Stored human DNA 12% more efficiently than known alternatives in the old deck claim.</w:t>
            </w:r>
          </w:p>
        </w:tc>
        <w:tc>
          <w:tcPr>
            <w:tcW w:type="dxa" w:w="2466"/>
          </w:tcPr>
          <w:p>
            <w:r/>
            <w:r>
              <w:rPr>
                <w:rFonts w:ascii="Calibri" w:hAnsi="Calibri" w:cs="Calibri" w:eastAsia="Calibri"/>
                <w:b w:val="0"/>
                <w:i w:val="0"/>
                <w:color w:val="33404D"/>
                <w:sz w:val="19"/>
              </w:rPr>
              <w:t>Cithorum Jam Company Deck; legacy deck context.</w:t>
            </w:r>
          </w:p>
        </w:tc>
        <w:tc>
          <w:tcPr>
            <w:tcW w:type="dxa" w:w="2466"/>
          </w:tcPr>
          <w:p>
            <w:r/>
            <w:r>
              <w:rPr>
                <w:rFonts w:ascii="Calibri" w:hAnsi="Calibri" w:cs="Calibri" w:eastAsia="Calibri"/>
                <w:b w:val="0"/>
                <w:i w:val="0"/>
                <w:color w:val="33404D"/>
                <w:sz w:val="19"/>
              </w:rPr>
              <w:t>Use carefully; avoid 'any known algorithm' unless source package is attached.</w:t>
            </w:r>
          </w:p>
        </w:tc>
      </w:tr>
      <w:tr>
        <w:tc>
          <w:tcPr>
            <w:tcW w:type="dxa" w:w="2466"/>
          </w:tcPr>
          <w:p>
            <w:r/>
            <w:r>
              <w:rPr>
                <w:rFonts w:ascii="Calibri" w:hAnsi="Calibri" w:cs="Calibri" w:eastAsia="Calibri"/>
                <w:b w:val="0"/>
                <w:i w:val="0"/>
                <w:color w:val="33404D"/>
                <w:sz w:val="19"/>
              </w:rPr>
              <w:t>Ubuntu VM</w:t>
            </w:r>
          </w:p>
        </w:tc>
        <w:tc>
          <w:tcPr>
            <w:tcW w:type="dxa" w:w="2466"/>
          </w:tcPr>
          <w:p>
            <w:r/>
            <w:r>
              <w:rPr>
                <w:rFonts w:ascii="Calibri" w:hAnsi="Calibri" w:cs="Calibri" w:eastAsia="Calibri"/>
                <w:b w:val="0"/>
                <w:i w:val="0"/>
                <w:color w:val="33404D"/>
                <w:sz w:val="19"/>
              </w:rPr>
              <w:t>Ubuntu VM stored 45% smaller via Jam versus alternatives.</w:t>
            </w:r>
          </w:p>
        </w:tc>
        <w:tc>
          <w:tcPr>
            <w:tcW w:type="dxa" w:w="2466"/>
          </w:tcPr>
          <w:p>
            <w:r/>
            <w:r>
              <w:rPr>
                <w:rFonts w:ascii="Calibri" w:hAnsi="Calibri" w:cs="Calibri" w:eastAsia="Calibri"/>
                <w:b w:val="0"/>
                <w:i w:val="0"/>
                <w:color w:val="33404D"/>
                <w:sz w:val="19"/>
              </w:rPr>
              <w:t>Direct user-supplied note, April 25, 2026.</w:t>
            </w:r>
          </w:p>
        </w:tc>
        <w:tc>
          <w:tcPr>
            <w:tcW w:type="dxa" w:w="2466"/>
          </w:tcPr>
          <w:p>
            <w:r/>
            <w:r>
              <w:rPr>
                <w:rFonts w:ascii="Calibri" w:hAnsi="Calibri" w:cs="Calibri" w:eastAsia="Calibri"/>
                <w:b w:val="0"/>
                <w:i w:val="0"/>
                <w:color w:val="33404D"/>
                <w:sz w:val="19"/>
              </w:rPr>
              <w:t>Use as trial-derived benchmark until reproduced.</w:t>
            </w:r>
          </w:p>
        </w:tc>
      </w:tr>
      <w:tr>
        <w:tc>
          <w:tcPr>
            <w:tcW w:type="dxa" w:w="2466"/>
          </w:tcPr>
          <w:p>
            <w:r/>
            <w:r>
              <w:rPr>
                <w:rFonts w:ascii="Calibri" w:hAnsi="Calibri" w:cs="Calibri" w:eastAsia="Calibri"/>
                <w:b w:val="0"/>
                <w:i w:val="0"/>
                <w:color w:val="33404D"/>
                <w:sz w:val="19"/>
              </w:rPr>
              <w:t>April 2026 100× rsync backup-tier benchmark</w:t>
            </w:r>
          </w:p>
        </w:tc>
        <w:tc>
          <w:tcPr>
            <w:tcW w:type="dxa" w:w="2466"/>
          </w:tcPr>
          <w:p>
            <w:r/>
            <w:r>
              <w:rPr>
                <w:rFonts w:ascii="Calibri" w:hAnsi="Calibri" w:cs="Calibri" w:eastAsia="Calibri"/>
                <w:b w:val="0"/>
                <w:i w:val="0"/>
                <w:color w:val="33404D"/>
                <w:sz w:val="19"/>
              </w:rPr>
              <w:t>Cithorum live test on a 123 GB backup workload: rsync delta-transfer comparator vs Jam path; result ≈100× compression on the same corpus, final size ~1.18 GB.</w:t>
            </w:r>
          </w:p>
        </w:tc>
        <w:tc>
          <w:tcPr>
            <w:tcW w:type="dxa" w:w="2466"/>
          </w:tcPr>
          <w:p>
            <w:r/>
            <w:r>
              <w:rPr>
                <w:rFonts w:ascii="Calibri" w:hAnsi="Calibri" w:cs="Calibri" w:eastAsia="Calibri"/>
                <w:b w:val="0"/>
                <w:i w:val="0"/>
                <w:color w:val="33404D"/>
                <w:sz w:val="19"/>
              </w:rPr>
              <w:t>Cithorum + Jam April 2026 backup-tier benchmark recording (videopress.com/v/w4Z0jvUC); raw run logs retained internally.</w:t>
            </w:r>
          </w:p>
        </w:tc>
        <w:tc>
          <w:tcPr>
            <w:tcW w:type="dxa" w:w="2466"/>
          </w:tcPr>
          <w:p>
            <w:r/>
            <w:r>
              <w:rPr>
                <w:rFonts w:ascii="Calibri" w:hAnsi="Calibri" w:cs="Calibri" w:eastAsia="Calibri"/>
                <w:b w:val="0"/>
                <w:i w:val="0"/>
                <w:color w:val="33404D"/>
                <w:sz w:val="19"/>
              </w:rPr>
              <w:t>Use as the canonical backup-tier benchmark. Do not generalise to mixed enterprise workloads.</w:t>
            </w:r>
          </w:p>
        </w:tc>
      </w:tr>
      <w:tr>
        <w:tc>
          <w:tcPr>
            <w:tcW w:type="dxa" w:w="2466"/>
          </w:tcPr>
          <w:p>
            <w:r/>
            <w:r>
              <w:rPr>
                <w:rFonts w:ascii="Calibri" w:hAnsi="Calibri" w:cs="Calibri" w:eastAsia="Calibri"/>
                <w:b w:val="0"/>
                <w:i w:val="0"/>
                <w:color w:val="33404D"/>
                <w:sz w:val="19"/>
              </w:rPr>
              <w:t>InterDigital</w:t>
            </w:r>
          </w:p>
        </w:tc>
        <w:tc>
          <w:tcPr>
            <w:tcW w:type="dxa" w:w="2466"/>
          </w:tcPr>
          <w:p>
            <w:r/>
            <w:r>
              <w:rPr>
                <w:rFonts w:ascii="Calibri" w:hAnsi="Calibri" w:cs="Calibri" w:eastAsia="Calibri"/>
                <w:b w:val="0"/>
                <w:i w:val="0"/>
                <w:color w:val="33404D"/>
                <w:sz w:val="19"/>
              </w:rPr>
              <w:t>Tested Jam for multimedia and game-engine file storage.</w:t>
            </w:r>
          </w:p>
        </w:tc>
        <w:tc>
          <w:tcPr>
            <w:tcW w:type="dxa" w:w="2466"/>
          </w:tcPr>
          <w:p>
            <w:r/>
            <w:r>
              <w:rPr>
                <w:rFonts w:ascii="Calibri" w:hAnsi="Calibri" w:cs="Calibri" w:eastAsia="Calibri"/>
                <w:b w:val="0"/>
                <w:i w:val="0"/>
                <w:color w:val="33404D"/>
                <w:sz w:val="19"/>
              </w:rPr>
              <w:t>JAM Legacy Deck.</w:t>
            </w:r>
          </w:p>
        </w:tc>
        <w:tc>
          <w:tcPr>
            <w:tcW w:type="dxa" w:w="2466"/>
          </w:tcPr>
          <w:p>
            <w:r/>
            <w:r>
              <w:rPr>
                <w:rFonts w:ascii="Calibri" w:hAnsi="Calibri" w:cs="Calibri" w:eastAsia="Calibri"/>
                <w:b w:val="0"/>
                <w:i w:val="0"/>
                <w:color w:val="33404D"/>
                <w:sz w:val="19"/>
              </w:rPr>
              <w:t>Historical trial context only.</w:t>
            </w:r>
          </w:p>
        </w:tc>
      </w:tr>
      <w:tr>
        <w:tc>
          <w:tcPr>
            <w:tcW w:type="dxa" w:w="2466"/>
          </w:tcPr>
          <w:p>
            <w:r/>
            <w:r>
              <w:rPr>
                <w:rFonts w:ascii="Calibri" w:hAnsi="Calibri" w:cs="Calibri" w:eastAsia="Calibri"/>
                <w:b w:val="0"/>
                <w:i w:val="0"/>
                <w:color w:val="33404D"/>
                <w:sz w:val="19"/>
              </w:rPr>
              <w:t>M2M rate</w:t>
            </w:r>
          </w:p>
        </w:tc>
        <w:tc>
          <w:tcPr>
            <w:tcW w:type="dxa" w:w="2466"/>
          </w:tcPr>
          <w:p>
            <w:r/>
            <w:r>
              <w:rPr>
                <w:rFonts w:ascii="Calibri" w:hAnsi="Calibri" w:cs="Calibri" w:eastAsia="Calibri"/>
                <w:b w:val="0"/>
                <w:i w:val="0"/>
                <w:color w:val="33404D"/>
                <w:sz w:val="19"/>
              </w:rPr>
              <w:t>CAD $1.50/TB/month usage rate with CAD $2,000 monthly minimum in the M2M / TechConnect SKU.</w:t>
            </w:r>
          </w:p>
        </w:tc>
        <w:tc>
          <w:tcPr>
            <w:tcW w:type="dxa" w:w="2466"/>
          </w:tcPr>
          <w:p>
            <w:r/>
            <w:r>
              <w:rPr>
                <w:rFonts w:ascii="Calibri" w:hAnsi="Calibri" w:cs="Calibri" w:eastAsia="Calibri"/>
                <w:b w:val="0"/>
                <w:i w:val="0"/>
                <w:color w:val="33404D"/>
                <w:sz w:val="19"/>
              </w:rPr>
              <w:t>MASTER-REFERENCE; Licensing Proposal; Jam Showcase.</w:t>
            </w:r>
          </w:p>
        </w:tc>
        <w:tc>
          <w:tcPr>
            <w:tcW w:type="dxa" w:w="2466"/>
          </w:tcPr>
          <w:p>
            <w:r/>
            <w:r>
              <w:rPr>
                <w:rFonts w:ascii="Calibri" w:hAnsi="Calibri" w:cs="Calibri" w:eastAsia="Calibri"/>
                <w:b w:val="0"/>
                <w:i w:val="0"/>
                <w:color w:val="33404D"/>
                <w:sz w:val="19"/>
              </w:rPr>
              <w:t>Commercial / pricing claim, not technical benchmark.</w:t>
            </w:r>
          </w:p>
        </w:tc>
      </w:tr>
      <w:tr>
        <w:tc>
          <w:tcPr>
            <w:tcW w:type="dxa" w:w="2466"/>
          </w:tcPr>
          <w:p>
            <w:r/>
            <w:r>
              <w:rPr>
                <w:rFonts w:ascii="Calibri" w:hAnsi="Calibri" w:cs="Calibri" w:eastAsia="Calibri"/>
                <w:b w:val="0"/>
                <w:i w:val="0"/>
                <w:color w:val="33404D"/>
                <w:sz w:val="19"/>
              </w:rPr>
              <w:t>M2M formal MRR</w:t>
            </w:r>
          </w:p>
        </w:tc>
        <w:tc>
          <w:tcPr>
            <w:tcW w:type="dxa" w:w="2466"/>
          </w:tcPr>
          <w:p>
            <w:r/>
            <w:r>
              <w:rPr>
                <w:rFonts w:ascii="Calibri" w:hAnsi="Calibri" w:cs="Calibri" w:eastAsia="Calibri"/>
                <w:b w:val="0"/>
                <w:i w:val="0"/>
                <w:color w:val="33404D"/>
                <w:sz w:val="19"/>
              </w:rPr>
              <w:t>M2M Tech Connect is a formal paying client of Cithorum (Canada) at $7K/month MRR. Lucas message says the first invoice was sent to M2M, Jam for Linux was delivered, and MacOS access was provided.</w:t>
            </w:r>
          </w:p>
        </w:tc>
        <w:tc>
          <w:tcPr>
            <w:tcW w:type="dxa" w:w="2466"/>
          </w:tcPr>
          <w:p>
            <w:r/>
            <w:r>
              <w:rPr>
                <w:rFonts w:ascii="Calibri" w:hAnsi="Calibri" w:cs="Calibri" w:eastAsia="Calibri"/>
                <w:b w:val="0"/>
                <w:i w:val="0"/>
                <w:color w:val="33404D"/>
                <w:sz w:val="19"/>
              </w:rPr>
              <w:t>User-confirmed formal MRR, April 29, 2026; Lucas WhatsApp screenshot supplied by user; Re_ Partnership Proposal.pdf confirms first invoice / SLA attached and Jam for Linux sent.</w:t>
            </w:r>
          </w:p>
        </w:tc>
        <w:tc>
          <w:tcPr>
            <w:tcW w:type="dxa" w:w="2466"/>
          </w:tcPr>
          <w:p>
            <w:r/>
            <w:r>
              <w:rPr>
                <w:rFonts w:ascii="Calibri" w:hAnsi="Calibri" w:cs="Calibri" w:eastAsia="Calibri"/>
                <w:b w:val="0"/>
                <w:i w:val="0"/>
                <w:color w:val="33404D"/>
                <w:sz w:val="19"/>
              </w:rPr>
              <w:t>Use as commercial validation and recurring revenue proof. Counterparty entity: Cithorum (Canada).</w:t>
            </w:r>
          </w:p>
        </w:tc>
      </w:tr>
    </w:tbl>
    <w:p>
      <w:pPr>
        <w:spacing w:before="280" w:after="80"/>
      </w:pPr>
      <w:r>
        <w:rPr>
          <w:rFonts w:ascii="Calibri" w:hAnsi="Calibri" w:cs="Calibri" w:eastAsia="Calibri"/>
          <w:b/>
          <w:i w:val="0"/>
          <w:color w:val="0B3A5B"/>
          <w:sz w:val="30"/>
        </w:rPr>
        <w:t>4. Retired or Unsafe Claims</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Retired claim</w:t>
            </w:r>
          </w:p>
        </w:tc>
        <w:tc>
          <w:tcPr>
            <w:tcW w:type="dxa" w:w="3289"/>
            <w:shd w:val="clear" w:color="auto" w:fill="EAF2F8"/>
          </w:tcPr>
          <w:p>
            <w:r/>
            <w:r>
              <w:rPr>
                <w:rFonts w:ascii="Calibri" w:hAnsi="Calibri" w:cs="Calibri" w:eastAsia="Calibri"/>
                <w:b/>
                <w:i w:val="0"/>
                <w:color w:val="0B3A5B"/>
                <w:sz w:val="19"/>
              </w:rPr>
              <w:t>Problem</w:t>
            </w:r>
          </w:p>
        </w:tc>
        <w:tc>
          <w:tcPr>
            <w:tcW w:type="dxa" w:w="3289"/>
            <w:shd w:val="clear" w:color="auto" w:fill="EAF2F8"/>
          </w:tcPr>
          <w:p>
            <w:r/>
            <w:r>
              <w:rPr>
                <w:rFonts w:ascii="Calibri" w:hAnsi="Calibri" w:cs="Calibri" w:eastAsia="Calibri"/>
                <w:b/>
                <w:i w:val="0"/>
                <w:color w:val="0B3A5B"/>
                <w:sz w:val="19"/>
              </w:rPr>
              <w:t>Replacement</w:t>
            </w:r>
          </w:p>
        </w:tc>
      </w:tr>
      <w:tr>
        <w:tc>
          <w:tcPr>
            <w:tcW w:type="dxa" w:w="3289"/>
          </w:tcPr>
          <w:p>
            <w:r/>
            <w:r>
              <w:rPr>
                <w:rFonts w:ascii="Calibri" w:hAnsi="Calibri" w:cs="Calibri" w:eastAsia="Calibri"/>
                <w:b w:val="0"/>
                <w:i w:val="0"/>
                <w:color w:val="33404D"/>
                <w:sz w:val="19"/>
              </w:rPr>
              <w:t>48,900× more cost-effective than GPU training</w:t>
            </w:r>
          </w:p>
        </w:tc>
        <w:tc>
          <w:tcPr>
            <w:tcW w:type="dxa" w:w="3289"/>
          </w:tcPr>
          <w:p>
            <w:r/>
            <w:r>
              <w:rPr>
                <w:rFonts w:ascii="Calibri" w:hAnsi="Calibri" w:cs="Calibri" w:eastAsia="Calibri"/>
                <w:b w:val="0"/>
                <w:i w:val="0"/>
                <w:color w:val="33404D"/>
                <w:sz w:val="19"/>
              </w:rPr>
              <w:t>Retired in MASTER-REFERENCE as unsourced/aggressive.</w:t>
            </w:r>
          </w:p>
        </w:tc>
        <w:tc>
          <w:tcPr>
            <w:tcW w:type="dxa" w:w="3289"/>
          </w:tcPr>
          <w:p>
            <w:r/>
            <w:r>
              <w:rPr>
                <w:rFonts w:ascii="Calibri" w:hAnsi="Calibri" w:cs="Calibri" w:eastAsia="Calibri"/>
                <w:b w:val="0"/>
                <w:i w:val="0"/>
                <w:color w:val="33404D"/>
                <w:sz w:val="19"/>
              </w:rPr>
              <w:t>Use core data plane is CPU/software-first; quantify with benchmarked storage / bandwidth / power model.</w:t>
            </w:r>
          </w:p>
        </w:tc>
      </w:tr>
      <w:tr>
        <w:tc>
          <w:tcPr>
            <w:tcW w:type="dxa" w:w="3289"/>
          </w:tcPr>
          <w:p>
            <w:r/>
            <w:r>
              <w:rPr>
                <w:rFonts w:ascii="Calibri" w:hAnsi="Calibri" w:cs="Calibri" w:eastAsia="Calibri"/>
                <w:b w:val="0"/>
                <w:i w:val="0"/>
                <w:color w:val="33404D"/>
                <w:sz w:val="19"/>
              </w:rPr>
              <w:t>140× RAM extension / only 1/140th DRAM</w:t>
            </w:r>
          </w:p>
        </w:tc>
        <w:tc>
          <w:tcPr>
            <w:tcW w:type="dxa" w:w="3289"/>
          </w:tcPr>
          <w:p>
            <w:r/>
            <w:r>
              <w:rPr>
                <w:rFonts w:ascii="Calibri" w:hAnsi="Calibri" w:cs="Calibri" w:eastAsia="Calibri"/>
                <w:b w:val="0"/>
                <w:i w:val="0"/>
                <w:color w:val="33404D"/>
                <w:sz w:val="19"/>
              </w:rPr>
              <w:t>Master reference says this is imprecise.</w:t>
            </w:r>
          </w:p>
        </w:tc>
        <w:tc>
          <w:tcPr>
            <w:tcW w:type="dxa" w:w="3289"/>
          </w:tcPr>
          <w:p>
            <w:r/>
            <w:r>
              <w:rPr>
                <w:rFonts w:ascii="Calibri" w:hAnsi="Calibri" w:cs="Calibri" w:eastAsia="Calibri"/>
                <w:b w:val="0"/>
                <w:i w:val="0"/>
                <w:color w:val="33404D"/>
                <w:sz w:val="19"/>
              </w:rPr>
              <w:t>Filesystem-as-RAM extension pattern reduces working-set RAM by up to an order of magnitude on supported workloads.</w:t>
            </w:r>
          </w:p>
        </w:tc>
      </w:tr>
      <w:tr>
        <w:tc>
          <w:tcPr>
            <w:tcW w:type="dxa" w:w="3289"/>
          </w:tcPr>
          <w:p>
            <w:r/>
            <w:r>
              <w:rPr>
                <w:rFonts w:ascii="Calibri" w:hAnsi="Calibri" w:cs="Calibri" w:eastAsia="Calibri"/>
                <w:b w:val="0"/>
                <w:i w:val="0"/>
                <w:color w:val="33404D"/>
                <w:sz w:val="19"/>
              </w:rPr>
              <w:t>World's first keyless encryption system using big-data itself as the key</w:t>
            </w:r>
          </w:p>
        </w:tc>
        <w:tc>
          <w:tcPr>
            <w:tcW w:type="dxa" w:w="3289"/>
          </w:tcPr>
          <w:p>
            <w:r/>
            <w:r>
              <w:rPr>
                <w:rFonts w:ascii="Calibri" w:hAnsi="Calibri" w:cs="Calibri" w:eastAsia="Calibri"/>
                <w:b w:val="0"/>
                <w:i w:val="0"/>
                <w:color w:val="33404D"/>
                <w:sz w:val="19"/>
              </w:rPr>
              <w:t>Cryptographically imprecise and not canonical.</w:t>
            </w:r>
          </w:p>
        </w:tc>
        <w:tc>
          <w:tcPr>
            <w:tcW w:type="dxa" w:w="3289"/>
          </w:tcPr>
          <w:p>
            <w:r/>
            <w:r>
              <w:rPr>
                <w:rFonts w:ascii="Calibri" w:hAnsi="Calibri" w:cs="Calibri" w:eastAsia="Calibri"/>
                <w:b w:val="0"/>
                <w:i w:val="0"/>
                <w:color w:val="33404D"/>
                <w:sz w:val="19"/>
              </w:rPr>
              <w:t>Keyless-at-rest: deterministic key derivation from seed material; no key storage at rest.</w:t>
            </w:r>
          </w:p>
        </w:tc>
      </w:tr>
      <w:tr>
        <w:tc>
          <w:tcPr>
            <w:tcW w:type="dxa" w:w="3289"/>
          </w:tcPr>
          <w:p>
            <w:r/>
            <w:r>
              <w:rPr>
                <w:rFonts w:ascii="Calibri" w:hAnsi="Calibri" w:cs="Calibri" w:eastAsia="Calibri"/>
                <w:b w:val="0"/>
                <w:i w:val="0"/>
                <w:color w:val="33404D"/>
                <w:sz w:val="19"/>
              </w:rPr>
              <w:t>Bends time and space</w:t>
            </w:r>
          </w:p>
        </w:tc>
        <w:tc>
          <w:tcPr>
            <w:tcW w:type="dxa" w:w="3289"/>
          </w:tcPr>
          <w:p>
            <w:r/>
            <w:r>
              <w:rPr>
                <w:rFonts w:ascii="Calibri" w:hAnsi="Calibri" w:cs="Calibri" w:eastAsia="Calibri"/>
                <w:b w:val="0"/>
                <w:i w:val="0"/>
                <w:color w:val="33404D"/>
                <w:sz w:val="19"/>
              </w:rPr>
              <w:t>Marketing metaphor; not technical.</w:t>
            </w:r>
          </w:p>
        </w:tc>
        <w:tc>
          <w:tcPr>
            <w:tcW w:type="dxa" w:w="3289"/>
          </w:tcPr>
          <w:p>
            <w:r/>
            <w:r>
              <w:rPr>
                <w:rFonts w:ascii="Calibri" w:hAnsi="Calibri" w:cs="Calibri" w:eastAsia="Calibri"/>
                <w:b w:val="0"/>
                <w:i w:val="0"/>
                <w:color w:val="33404D"/>
                <w:sz w:val="19"/>
              </w:rPr>
              <w:t>Use measurable transfer, compression, latency, and reconstruction results.</w:t>
            </w:r>
          </w:p>
        </w:tc>
      </w:tr>
      <w:tr>
        <w:tc>
          <w:tcPr>
            <w:tcW w:type="dxa" w:w="3289"/>
          </w:tcPr>
          <w:p>
            <w:r/>
            <w:r>
              <w:rPr>
                <w:rFonts w:ascii="Calibri" w:hAnsi="Calibri" w:cs="Calibri" w:eastAsia="Calibri"/>
                <w:b w:val="0"/>
                <w:i w:val="0"/>
                <w:color w:val="33404D"/>
                <w:sz w:val="19"/>
              </w:rPr>
              <w:t>Universal 100× compression</w:t>
            </w:r>
          </w:p>
        </w:tc>
        <w:tc>
          <w:tcPr>
            <w:tcW w:type="dxa" w:w="3289"/>
          </w:tcPr>
          <w:p>
            <w:r/>
            <w:r>
              <w:rPr>
                <w:rFonts w:ascii="Calibri" w:hAnsi="Calibri" w:cs="Calibri" w:eastAsia="Calibri"/>
                <w:b w:val="0"/>
                <w:i w:val="0"/>
                <w:color w:val="33404D"/>
                <w:sz w:val="19"/>
              </w:rPr>
              <w:t>Canonical pack explicitly rejects universal 100×.</w:t>
            </w:r>
          </w:p>
        </w:tc>
        <w:tc>
          <w:tcPr>
            <w:tcW w:type="dxa" w:w="3289"/>
          </w:tcPr>
          <w:p>
            <w:r/>
            <w:r>
              <w:rPr>
                <w:rFonts w:ascii="Calibri" w:hAnsi="Calibri" w:cs="Calibri" w:eastAsia="Calibri"/>
                <w:b w:val="0"/>
                <w:i w:val="0"/>
                <w:color w:val="33404D"/>
                <w:sz w:val="19"/>
              </w:rPr>
              <w:t>Up to 100× sparse; 35–75% typical; pre-compressed may show only about 4% reduction. Backup-tier 100× requires backup-tier corpus.</w:t>
            </w:r>
          </w:p>
        </w:tc>
      </w:tr>
      <w:tr>
        <w:tc>
          <w:tcPr>
            <w:tcW w:type="dxa" w:w="3289"/>
          </w:tcPr>
          <w:p>
            <w:r/>
            <w:r>
              <w:rPr>
                <w:rFonts w:ascii="Calibri" w:hAnsi="Calibri" w:cs="Calibri" w:eastAsia="Calibri"/>
                <w:b w:val="0"/>
                <w:i w:val="0"/>
                <w:color w:val="33404D"/>
                <w:sz w:val="19"/>
              </w:rPr>
              <w:t>FIPS 140/3 certified today</w:t>
            </w:r>
          </w:p>
        </w:tc>
        <w:tc>
          <w:tcPr>
            <w:tcW w:type="dxa" w:w="3289"/>
          </w:tcPr>
          <w:p>
            <w:r/>
            <w:r>
              <w:rPr>
                <w:rFonts w:ascii="Calibri" w:hAnsi="Calibri" w:cs="Calibri" w:eastAsia="Calibri"/>
                <w:b w:val="0"/>
                <w:i w:val="0"/>
                <w:color w:val="33404D"/>
                <w:sz w:val="19"/>
              </w:rPr>
              <w:t>Source says planned/CMVP submission, not complete.</w:t>
            </w:r>
          </w:p>
        </w:tc>
        <w:tc>
          <w:tcPr>
            <w:tcW w:type="dxa" w:w="3289"/>
          </w:tcPr>
          <w:p>
            <w:r/>
            <w:r>
              <w:rPr>
                <w:rFonts w:ascii="Calibri" w:hAnsi="Calibri" w:cs="Calibri" w:eastAsia="Calibri"/>
                <w:b w:val="0"/>
                <w:i w:val="0"/>
                <w:color w:val="33404D"/>
                <w:sz w:val="19"/>
              </w:rPr>
              <w:t>FIPS 140/2 compliant today; FIPS 140/3 planned.</w:t>
            </w:r>
          </w:p>
        </w:tc>
      </w:tr>
      <w:tr>
        <w:tc>
          <w:tcPr>
            <w:tcW w:type="dxa" w:w="3289"/>
          </w:tcPr>
          <w:p>
            <w:r/>
            <w:r>
              <w:rPr>
                <w:rFonts w:ascii="Calibri" w:hAnsi="Calibri" w:cs="Calibri" w:eastAsia="Calibri"/>
                <w:b w:val="0"/>
                <w:i w:val="0"/>
                <w:color w:val="33404D"/>
                <w:sz w:val="19"/>
              </w:rPr>
              <w:t>secp256k1 hash</w:t>
            </w:r>
          </w:p>
        </w:tc>
        <w:tc>
          <w:tcPr>
            <w:tcW w:type="dxa" w:w="3289"/>
          </w:tcPr>
          <w:p>
            <w:r/>
            <w:r>
              <w:rPr>
                <w:rFonts w:ascii="Calibri" w:hAnsi="Calibri" w:cs="Calibri" w:eastAsia="Calibri"/>
                <w:b w:val="0"/>
                <w:i w:val="0"/>
                <w:color w:val="33404D"/>
                <w:sz w:val="19"/>
              </w:rPr>
              <w:t>Incorrect; source explicitly corrected it.</w:t>
            </w:r>
          </w:p>
        </w:tc>
        <w:tc>
          <w:tcPr>
            <w:tcW w:type="dxa" w:w="3289"/>
          </w:tcPr>
          <w:p>
            <w:r/>
            <w:r>
              <w:rPr>
                <w:rFonts w:ascii="Calibri" w:hAnsi="Calibri" w:cs="Calibri" w:eastAsia="Calibri"/>
                <w:b w:val="0"/>
                <w:i w:val="0"/>
                <w:color w:val="33404D"/>
                <w:sz w:val="19"/>
              </w:rPr>
              <w:t>secp256k1 is an elliptic curve used for ECDH/ECDSA.</w:t>
            </w:r>
          </w:p>
        </w:tc>
      </w:tr>
    </w:tbl>
    <w:p>
      <w:pPr>
        <w:spacing w:before="280" w:after="80"/>
      </w:pPr>
      <w:r>
        <w:rPr>
          <w:rFonts w:ascii="Calibri" w:hAnsi="Calibri" w:cs="Calibri" w:eastAsia="Calibri"/>
          <w:b/>
          <w:i w:val="0"/>
          <w:color w:val="0B3A5B"/>
          <w:sz w:val="30"/>
        </w:rPr>
        <w:t>5. Commercial and Integration Facts</w:t>
      </w:r>
    </w:p>
    <w:p>
      <w:pPr>
        <w:pStyle w:val="ListBullet"/>
        <w:spacing w:after="40"/>
      </w:pPr>
      <w:r>
        <w:rPr>
          <w:rFonts w:ascii="Calibri" w:hAnsi="Calibri" w:cs="Calibri" w:eastAsia="Calibri"/>
          <w:b w:val="0"/>
          <w:i w:val="0"/>
          <w:sz w:val="21"/>
        </w:rPr>
        <w:t>Pricing families in the Cithorum source pack: Commercial USD tiers, Defence CAD/ITB tiers, and M2M / Trial CAD pricing.</w:t>
      </w:r>
    </w:p>
    <w:p>
      <w:pPr>
        <w:pStyle w:val="ListBullet"/>
        <w:spacing w:after="40"/>
      </w:pPr>
      <w:r>
        <w:rPr>
          <w:rFonts w:ascii="Calibri" w:hAnsi="Calibri" w:cs="Calibri" w:eastAsia="Calibri"/>
          <w:b w:val="0"/>
          <w:i w:val="0"/>
          <w:sz w:val="21"/>
        </w:rPr>
        <w:t>The M2M SKU has a CAD $2,000 monthly minimum and CAD $1.50/TB/month storage overage, implying 1,333 TB/month included at the minimum.</w:t>
      </w:r>
    </w:p>
    <w:p>
      <w:pPr>
        <w:pStyle w:val="ListBullet"/>
        <w:spacing w:after="40"/>
      </w:pPr>
      <w:r>
        <w:rPr>
          <w:rFonts w:ascii="Calibri" w:hAnsi="Calibri" w:cs="Calibri" w:eastAsia="Calibri"/>
          <w:b w:val="0"/>
          <w:i w:val="0"/>
          <w:sz w:val="21"/>
        </w:rPr>
        <w:t>M2M Tech Connect commercial proof: formal $7K/month MRR booked against Cithorum (Canada). Jam for Linux was delivered, SLA and first invoice were sent, and Lucas confirmed the first invoice event.</w:t>
      </w:r>
    </w:p>
    <w:p>
      <w:pPr>
        <w:pStyle w:val="ListBullet"/>
        <w:spacing w:after="40"/>
      </w:pPr>
      <w:r>
        <w:rPr>
          <w:rFonts w:ascii="Calibri" w:hAnsi="Calibri" w:cs="Calibri" w:eastAsia="Calibri"/>
          <w:b w:val="0"/>
          <w:i w:val="0"/>
          <w:sz w:val="21"/>
        </w:rPr>
        <w:t>Commercial tiers in the master reference: Starter 1 TB at USD $950/month; Growth 10 TB at USD $4,500/month; Scale 50 TB at USD $14,500/month; Custom above 50 TB.</w:t>
      </w:r>
    </w:p>
    <w:p>
      <w:pPr>
        <w:pStyle w:val="ListBullet"/>
        <w:spacing w:after="40"/>
      </w:pPr>
      <w:r>
        <w:rPr>
          <w:rFonts w:ascii="Calibri" w:hAnsi="Calibri" w:cs="Calibri" w:eastAsia="Calibri"/>
          <w:b w:val="0"/>
          <w:i w:val="0"/>
          <w:sz w:val="21"/>
        </w:rPr>
        <w:t>Atreides IO is best represented as a commercial integration target requiring Apache Spark Java/Scala compatibility, not as a completed Spark deployment unless a newer signed source says so.</w:t>
      </w:r>
    </w:p>
    <w:p>
      <w:pPr>
        <w:pStyle w:val="ListBullet"/>
        <w:spacing w:after="40"/>
      </w:pPr>
      <w:r>
        <w:rPr>
          <w:rFonts w:ascii="Calibri" w:hAnsi="Calibri" w:cs="Calibri" w:eastAsia="Calibri"/>
          <w:b w:val="0"/>
          <w:i w:val="0"/>
          <w:sz w:val="21"/>
        </w:rPr>
        <w:t>Partner-access proof includes NVIDIA Inception membership, RTX/Supplier.io profile approval, and UNITE-Brave NATO portal access. These are ecosystem / procurement validations, not technical benchmark results.</w:t>
      </w:r>
    </w:p>
    <w:p>
      <w:pPr>
        <w:pStyle w:val="ListBullet"/>
        <w:spacing w:after="40"/>
      </w:pPr>
      <w:r>
        <w:rPr>
          <w:rFonts w:ascii="Calibri" w:hAnsi="Calibri" w:cs="Calibri" w:eastAsia="Calibri"/>
          <w:b w:val="0"/>
          <w:i w:val="0"/>
          <w:sz w:val="21"/>
        </w:rPr>
        <w:t>Air-gapped and sovereign deployment support is source-backed, but managed uptime SLOs do not apply automatically to customer-operated air-gapped environments.</w:t>
      </w:r>
    </w:p>
    <w:p>
      <w:pPr>
        <w:spacing w:before="280" w:after="80"/>
      </w:pPr>
      <w:r>
        <w:rPr>
          <w:rFonts w:ascii="Calibri" w:hAnsi="Calibri" w:cs="Calibri" w:eastAsia="Calibri"/>
          <w:b/>
          <w:i w:val="0"/>
          <w:color w:val="0B3A5B"/>
          <w:sz w:val="30"/>
        </w:rPr>
        <w:t>6. Source Coverage Matrix</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Source</w:t>
            </w:r>
          </w:p>
        </w:tc>
        <w:tc>
          <w:tcPr>
            <w:tcW w:type="dxa" w:w="3289"/>
            <w:shd w:val="clear" w:color="auto" w:fill="EAF2F8"/>
          </w:tcPr>
          <w:p>
            <w:r/>
            <w:r>
              <w:rPr>
                <w:rFonts w:ascii="Calibri" w:hAnsi="Calibri" w:cs="Calibri" w:eastAsia="Calibri"/>
                <w:b/>
                <w:i w:val="0"/>
                <w:color w:val="0B3A5B"/>
                <w:sz w:val="19"/>
              </w:rPr>
              <w:t>Reliable for</w:t>
            </w:r>
          </w:p>
        </w:tc>
        <w:tc>
          <w:tcPr>
            <w:tcW w:type="dxa" w:w="3289"/>
            <w:shd w:val="clear" w:color="auto" w:fill="EAF2F8"/>
          </w:tcPr>
          <w:p>
            <w:r/>
            <w:r>
              <w:rPr>
                <w:rFonts w:ascii="Calibri" w:hAnsi="Calibri" w:cs="Calibri" w:eastAsia="Calibri"/>
                <w:b/>
                <w:i w:val="0"/>
                <w:color w:val="0B3A5B"/>
                <w:sz w:val="19"/>
              </w:rPr>
              <w:t>Cautions</w:t>
            </w:r>
          </w:p>
        </w:tc>
      </w:tr>
      <w:tr>
        <w:tc>
          <w:tcPr>
            <w:tcW w:type="dxa" w:w="3289"/>
          </w:tcPr>
          <w:p>
            <w:r/>
            <w:r>
              <w:rPr>
                <w:rFonts w:ascii="Calibri" w:hAnsi="Calibri" w:cs="Calibri" w:eastAsia="Calibri"/>
                <w:b w:val="0"/>
                <w:i w:val="0"/>
                <w:color w:val="33404D"/>
                <w:sz w:val="19"/>
              </w:rPr>
              <w:t>MASTER-REFERENCE.md</w:t>
            </w:r>
          </w:p>
        </w:tc>
        <w:tc>
          <w:tcPr>
            <w:tcW w:type="dxa" w:w="3289"/>
          </w:tcPr>
          <w:p>
            <w:r/>
            <w:r>
              <w:rPr>
                <w:rFonts w:ascii="Calibri" w:hAnsi="Calibri" w:cs="Calibri" w:eastAsia="Calibri"/>
                <w:b w:val="0"/>
                <w:i w:val="0"/>
                <w:color w:val="33404D"/>
                <w:sz w:val="19"/>
              </w:rPr>
              <w:t>Canonical performance, crypto, pricing, CCV, terminology, retired claims.</w:t>
            </w:r>
          </w:p>
        </w:tc>
        <w:tc>
          <w:tcPr>
            <w:tcW w:type="dxa" w:w="3289"/>
          </w:tcPr>
          <w:p>
            <w:r/>
            <w:r>
              <w:rPr>
                <w:rFonts w:ascii="Calibri" w:hAnsi="Calibri" w:cs="Calibri" w:eastAsia="Calibri"/>
                <w:b w:val="0"/>
                <w:i w:val="0"/>
                <w:color w:val="33404D"/>
                <w:sz w:val="19"/>
              </w:rPr>
              <w:t>Always the senior source.</w:t>
            </w:r>
          </w:p>
        </w:tc>
      </w:tr>
      <w:tr>
        <w:tc>
          <w:tcPr>
            <w:tcW w:type="dxa" w:w="3289"/>
          </w:tcPr>
          <w:p>
            <w:r/>
            <w:r>
              <w:rPr>
                <w:rFonts w:ascii="Calibri" w:hAnsi="Calibri" w:cs="Calibri" w:eastAsia="Calibri"/>
                <w:b w:val="0"/>
                <w:i w:val="0"/>
                <w:color w:val="33404D"/>
                <w:sz w:val="19"/>
              </w:rPr>
              <w:t>Jam-Networked-Storage</w:t>
            </w:r>
          </w:p>
        </w:tc>
        <w:tc>
          <w:tcPr>
            <w:tcW w:type="dxa" w:w="3289"/>
          </w:tcPr>
          <w:p>
            <w:r/>
            <w:r>
              <w:rPr>
                <w:rFonts w:ascii="Calibri" w:hAnsi="Calibri" w:cs="Calibri" w:eastAsia="Calibri"/>
                <w:b w:val="0"/>
                <w:i w:val="0"/>
                <w:color w:val="33404D"/>
                <w:sz w:val="19"/>
              </w:rPr>
              <w:t>RAMOPS architecture, benchmark methodology, reference results, SLOs.</w:t>
            </w:r>
          </w:p>
        </w:tc>
        <w:tc>
          <w:tcPr>
            <w:tcW w:type="dxa" w:w="3289"/>
          </w:tcPr>
          <w:p>
            <w:r/>
            <w:r>
              <w:rPr>
                <w:rFonts w:ascii="Calibri" w:hAnsi="Calibri" w:cs="Calibri" w:eastAsia="Calibri"/>
                <w:b w:val="0"/>
                <w:i w:val="0"/>
                <w:color w:val="33404D"/>
                <w:sz w:val="19"/>
              </w:rPr>
              <w:t>Throughput tied to reference rig.</w:t>
            </w:r>
          </w:p>
        </w:tc>
      </w:tr>
      <w:tr>
        <w:tc>
          <w:tcPr>
            <w:tcW w:type="dxa" w:w="3289"/>
          </w:tcPr>
          <w:p>
            <w:r/>
            <w:r>
              <w:rPr>
                <w:rFonts w:ascii="Calibri" w:hAnsi="Calibri" w:cs="Calibri" w:eastAsia="Calibri"/>
                <w:b w:val="0"/>
                <w:i w:val="0"/>
                <w:color w:val="33404D"/>
                <w:sz w:val="19"/>
              </w:rPr>
              <w:t>Jam-Standard-Library</w:t>
            </w:r>
          </w:p>
        </w:tc>
        <w:tc>
          <w:tcPr>
            <w:tcW w:type="dxa" w:w="3289"/>
          </w:tcPr>
          <w:p>
            <w:r/>
            <w:r>
              <w:rPr>
                <w:rFonts w:ascii="Calibri" w:hAnsi="Calibri" w:cs="Calibri" w:eastAsia="Calibri"/>
                <w:b w:val="0"/>
                <w:i w:val="0"/>
                <w:color w:val="33404D"/>
                <w:sz w:val="19"/>
              </w:rPr>
              <w:t>JSL primitives, API-level primitive names, certification posture.</w:t>
            </w:r>
          </w:p>
        </w:tc>
        <w:tc>
          <w:tcPr>
            <w:tcW w:type="dxa" w:w="3289"/>
          </w:tcPr>
          <w:p>
            <w:r/>
            <w:r>
              <w:rPr>
                <w:rFonts w:ascii="Calibri" w:hAnsi="Calibri" w:cs="Calibri" w:eastAsia="Calibri"/>
                <w:b w:val="0"/>
                <w:i w:val="0"/>
                <w:color w:val="33404D"/>
                <w:sz w:val="19"/>
              </w:rPr>
              <w:t>Does not reveal proprietary compression internals.</w:t>
            </w:r>
          </w:p>
        </w:tc>
      </w:tr>
      <w:tr>
        <w:tc>
          <w:tcPr>
            <w:tcW w:type="dxa" w:w="3289"/>
          </w:tcPr>
          <w:p>
            <w:r/>
            <w:r>
              <w:rPr>
                <w:rFonts w:ascii="Calibri" w:hAnsi="Calibri" w:cs="Calibri" w:eastAsia="Calibri"/>
                <w:b w:val="0"/>
                <w:i w:val="0"/>
                <w:color w:val="33404D"/>
                <w:sz w:val="19"/>
              </w:rPr>
              <w:t>Jam-MITM-Hardness</w:t>
            </w:r>
          </w:p>
        </w:tc>
        <w:tc>
          <w:tcPr>
            <w:tcW w:type="dxa" w:w="3289"/>
          </w:tcPr>
          <w:p>
            <w:r/>
            <w:r>
              <w:rPr>
                <w:rFonts w:ascii="Calibri" w:hAnsi="Calibri" w:cs="Calibri" w:eastAsia="Calibri"/>
                <w:b w:val="0"/>
                <w:i w:val="0"/>
                <w:color w:val="33404D"/>
                <w:sz w:val="19"/>
              </w:rPr>
              <w:t>Threat model, session establishment, MITM defence, PQC migration.</w:t>
            </w:r>
          </w:p>
        </w:tc>
        <w:tc>
          <w:tcPr>
            <w:tcW w:type="dxa" w:w="3289"/>
          </w:tcPr>
          <w:p>
            <w:r/>
            <w:r>
              <w:rPr>
                <w:rFonts w:ascii="Calibri" w:hAnsi="Calibri" w:cs="Calibri" w:eastAsia="Calibri"/>
                <w:b w:val="0"/>
                <w:i w:val="0"/>
                <w:color w:val="33404D"/>
                <w:sz w:val="19"/>
              </w:rPr>
              <w:t>Endpoint compromise and side-channels are non-goals.</w:t>
            </w:r>
          </w:p>
        </w:tc>
      </w:tr>
      <w:tr>
        <w:tc>
          <w:tcPr>
            <w:tcW w:type="dxa" w:w="3289"/>
          </w:tcPr>
          <w:p>
            <w:r/>
            <w:r>
              <w:rPr>
                <w:rFonts w:ascii="Calibri" w:hAnsi="Calibri" w:cs="Calibri" w:eastAsia="Calibri"/>
                <w:b w:val="0"/>
                <w:i w:val="0"/>
                <w:color w:val="33404D"/>
                <w:sz w:val="19"/>
              </w:rPr>
              <w:t>Jam-Installation-Guide</w:t>
            </w:r>
          </w:p>
        </w:tc>
        <w:tc>
          <w:tcPr>
            <w:tcW w:type="dxa" w:w="3289"/>
          </w:tcPr>
          <w:p>
            <w:r/>
            <w:r>
              <w:rPr>
                <w:rFonts w:ascii="Calibri" w:hAnsi="Calibri" w:cs="Calibri" w:eastAsia="Calibri"/>
                <w:b w:val="0"/>
                <w:i w:val="0"/>
                <w:color w:val="33404D"/>
                <w:sz w:val="19"/>
              </w:rPr>
              <w:t>Supported platforms, install paths, jam verify, air-gapped hardening.</w:t>
            </w:r>
          </w:p>
        </w:tc>
        <w:tc>
          <w:tcPr>
            <w:tcW w:type="dxa" w:w="3289"/>
          </w:tcPr>
          <w:p>
            <w:r/>
            <w:r>
              <w:rPr>
                <w:rFonts w:ascii="Calibri" w:hAnsi="Calibri" w:cs="Calibri" w:eastAsia="Calibri"/>
                <w:b w:val="0"/>
                <w:i w:val="0"/>
                <w:color w:val="33404D"/>
                <w:sz w:val="19"/>
              </w:rPr>
              <w:t>Release fingerprint placeholder must be published before broad use.</w:t>
            </w:r>
          </w:p>
        </w:tc>
      </w:tr>
      <w:tr>
        <w:tc>
          <w:tcPr>
            <w:tcW w:type="dxa" w:w="3289"/>
          </w:tcPr>
          <w:p>
            <w:r/>
            <w:r>
              <w:rPr>
                <w:rFonts w:ascii="Calibri" w:hAnsi="Calibri" w:cs="Calibri" w:eastAsia="Calibri"/>
                <w:b w:val="0"/>
                <w:i w:val="0"/>
                <w:color w:val="33404D"/>
                <w:sz w:val="19"/>
              </w:rPr>
              <w:t>Jam-SaaS-Archiver</w:t>
            </w:r>
          </w:p>
        </w:tc>
        <w:tc>
          <w:tcPr>
            <w:tcW w:type="dxa" w:w="3289"/>
          </w:tcPr>
          <w:p>
            <w:r/>
            <w:r>
              <w:rPr>
                <w:rFonts w:ascii="Calibri" w:hAnsi="Calibri" w:cs="Calibri" w:eastAsia="Calibri"/>
                <w:b w:val="0"/>
                <w:i w:val="0"/>
                <w:color w:val="33404D"/>
                <w:sz w:val="19"/>
              </w:rPr>
              <w:t>WORM, legal hold, archive SLOs, signed audit records.</w:t>
            </w:r>
          </w:p>
        </w:tc>
        <w:tc>
          <w:tcPr>
            <w:tcW w:type="dxa" w:w="3289"/>
          </w:tcPr>
          <w:p>
            <w:r/>
            <w:r>
              <w:rPr>
                <w:rFonts w:ascii="Calibri" w:hAnsi="Calibri" w:cs="Calibri" w:eastAsia="Calibri"/>
                <w:b w:val="0"/>
                <w:i w:val="0"/>
                <w:color w:val="33404D"/>
                <w:sz w:val="19"/>
              </w:rPr>
              <w:t>SOC 2 compliant; ISO items aligned/roadmap where stated.</w:t>
            </w:r>
          </w:p>
        </w:tc>
      </w:tr>
      <w:tr>
        <w:tc>
          <w:tcPr>
            <w:tcW w:type="dxa" w:w="3289"/>
          </w:tcPr>
          <w:p>
            <w:r/>
            <w:r>
              <w:rPr>
                <w:rFonts w:ascii="Calibri" w:hAnsi="Calibri" w:cs="Calibri" w:eastAsia="Calibri"/>
                <w:b w:val="0"/>
                <w:i w:val="0"/>
                <w:color w:val="33404D"/>
                <w:sz w:val="19"/>
              </w:rPr>
              <w:t>Scale-AI Scope</w:t>
            </w:r>
          </w:p>
        </w:tc>
        <w:tc>
          <w:tcPr>
            <w:tcW w:type="dxa" w:w="3289"/>
          </w:tcPr>
          <w:p>
            <w:r/>
            <w:r>
              <w:rPr>
                <w:rFonts w:ascii="Calibri" w:hAnsi="Calibri" w:cs="Calibri" w:eastAsia="Calibri"/>
                <w:b w:val="0"/>
                <w:i w:val="0"/>
                <w:color w:val="33404D"/>
                <w:sz w:val="19"/>
              </w:rPr>
              <w:t>Validation plan, corpus, success criteria, reproducibility.</w:t>
            </w:r>
          </w:p>
        </w:tc>
        <w:tc>
          <w:tcPr>
            <w:tcW w:type="dxa" w:w="3289"/>
          </w:tcPr>
          <w:p>
            <w:r/>
            <w:r>
              <w:rPr>
                <w:rFonts w:ascii="Calibri" w:hAnsi="Calibri" w:cs="Calibri" w:eastAsia="Calibri"/>
                <w:b w:val="0"/>
                <w:i w:val="0"/>
                <w:color w:val="33404D"/>
                <w:sz w:val="19"/>
              </w:rPr>
              <w:t>Scope, not proof of completed independent validation unless later report exists.</w:t>
            </w:r>
          </w:p>
        </w:tc>
      </w:tr>
      <w:tr>
        <w:tc>
          <w:tcPr>
            <w:tcW w:type="dxa" w:w="3289"/>
          </w:tcPr>
          <w:p>
            <w:r/>
            <w:r>
              <w:rPr>
                <w:rFonts w:ascii="Calibri" w:hAnsi="Calibri" w:cs="Calibri" w:eastAsia="Calibri"/>
                <w:b w:val="0"/>
                <w:i w:val="0"/>
                <w:color w:val="33404D"/>
                <w:sz w:val="19"/>
              </w:rPr>
              <w:t>Old decks</w:t>
            </w:r>
          </w:p>
        </w:tc>
        <w:tc>
          <w:tcPr>
            <w:tcW w:type="dxa" w:w="3289"/>
          </w:tcPr>
          <w:p>
            <w:r/>
            <w:r>
              <w:rPr>
                <w:rFonts w:ascii="Calibri" w:hAnsi="Calibri" w:cs="Calibri" w:eastAsia="Calibri"/>
                <w:b w:val="0"/>
                <w:i w:val="0"/>
                <w:color w:val="33404D"/>
                <w:sz w:val="19"/>
              </w:rPr>
              <w:t>History, trial accounts, Atreides/SwissVault/InterDigital, HyperRuntime concept.</w:t>
            </w:r>
          </w:p>
        </w:tc>
        <w:tc>
          <w:tcPr>
            <w:tcW w:type="dxa" w:w="3289"/>
          </w:tcPr>
          <w:p>
            <w:r/>
            <w:r>
              <w:rPr>
                <w:rFonts w:ascii="Calibri" w:hAnsi="Calibri" w:cs="Calibri" w:eastAsia="Calibri"/>
                <w:b w:val="0"/>
                <w:i w:val="0"/>
                <w:color w:val="33404D"/>
                <w:sz w:val="19"/>
              </w:rPr>
              <w:t>Contains retired/aggressive claims; use only through this register.</w:t>
            </w:r>
          </w:p>
        </w:tc>
      </w:tr>
      <w:tr>
        <w:tc>
          <w:tcPr>
            <w:tcW w:type="dxa" w:w="3289"/>
          </w:tcPr>
          <w:p>
            <w:r/>
            <w:r>
              <w:rPr>
                <w:rFonts w:ascii="Calibri" w:hAnsi="Calibri" w:cs="Calibri" w:eastAsia="Calibri"/>
                <w:b w:val="0"/>
                <w:i w:val="0"/>
                <w:color w:val="33404D"/>
                <w:sz w:val="19"/>
              </w:rPr>
              <w:t>User April 25 note</w:t>
            </w:r>
          </w:p>
        </w:tc>
        <w:tc>
          <w:tcPr>
            <w:tcW w:type="dxa" w:w="3289"/>
          </w:tcPr>
          <w:p>
            <w:r/>
            <w:r>
              <w:rPr>
                <w:rFonts w:ascii="Calibri" w:hAnsi="Calibri" w:cs="Calibri" w:eastAsia="Calibri"/>
                <w:b w:val="0"/>
                <w:i w:val="0"/>
                <w:color w:val="33404D"/>
                <w:sz w:val="19"/>
              </w:rPr>
              <w:t>SwissVault FASTQ, 22-minute alignment, Ubuntu VM 45%, Atreides integration emphasis.</w:t>
            </w:r>
          </w:p>
        </w:tc>
        <w:tc>
          <w:tcPr>
            <w:tcW w:type="dxa" w:w="3289"/>
          </w:tcPr>
          <w:p>
            <w:r/>
            <w:r>
              <w:rPr>
                <w:rFonts w:ascii="Calibri" w:hAnsi="Calibri" w:cs="Calibri" w:eastAsia="Calibri"/>
                <w:b w:val="0"/>
                <w:i w:val="0"/>
                <w:color w:val="33404D"/>
                <w:sz w:val="19"/>
              </w:rPr>
              <w:t>Needs formal run sheets for external scientific/technical publication.</w:t>
            </w:r>
          </w:p>
        </w:tc>
      </w:tr>
      <w:tr>
        <w:tc>
          <w:tcPr>
            <w:tcW w:type="dxa" w:w="3289"/>
          </w:tcPr>
          <w:p>
            <w:r/>
            <w:r>
              <w:rPr>
                <w:rFonts w:ascii="Calibri" w:hAnsi="Calibri" w:cs="Calibri" w:eastAsia="Calibri"/>
                <w:b w:val="0"/>
                <w:i w:val="0"/>
                <w:color w:val="33404D"/>
                <w:sz w:val="19"/>
              </w:rPr>
              <w:t>April 2026 partner proof PDFs</w:t>
            </w:r>
          </w:p>
        </w:tc>
        <w:tc>
          <w:tcPr>
            <w:tcW w:type="dxa" w:w="3289"/>
          </w:tcPr>
          <w:p>
            <w:r/>
            <w:r>
              <w:rPr>
                <w:rFonts w:ascii="Calibri" w:hAnsi="Calibri" w:cs="Calibri" w:eastAsia="Calibri"/>
                <w:b w:val="0"/>
                <w:i w:val="0"/>
                <w:color w:val="33404D"/>
                <w:sz w:val="19"/>
              </w:rPr>
              <w:t>NVIDIA Inception membership signal, RTX/Supplier.io profile approval, UNITE-Brave NATO portal access, M2M first invoice/SLA delivery.</w:t>
            </w:r>
          </w:p>
        </w:tc>
        <w:tc>
          <w:tcPr>
            <w:tcW w:type="dxa" w:w="3289"/>
          </w:tcPr>
          <w:p>
            <w:r/>
            <w:r>
              <w:rPr>
                <w:rFonts w:ascii="Calibri" w:hAnsi="Calibri" w:cs="Calibri" w:eastAsia="Calibri"/>
                <w:b w:val="0"/>
                <w:i w:val="0"/>
                <w:color w:val="33404D"/>
                <w:sz w:val="19"/>
              </w:rPr>
              <w:t>Use as commercial / procurement validation, not as performance proof.</w:t>
            </w:r>
          </w:p>
        </w:tc>
      </w:tr>
      <w:tr>
        <w:tc>
          <w:tcPr>
            <w:tcW w:type="dxa" w:w="3289"/>
          </w:tcPr>
          <w:p>
            <w:r/>
            <w:r>
              <w:rPr>
                <w:rFonts w:ascii="Calibri" w:hAnsi="Calibri" w:cs="Calibri" w:eastAsia="Calibri"/>
                <w:b w:val="0"/>
                <w:i w:val="0"/>
                <w:color w:val="33404D"/>
                <w:sz w:val="19"/>
              </w:rPr>
              <w:t>Lucas April 29 screenshot</w:t>
            </w:r>
          </w:p>
        </w:tc>
        <w:tc>
          <w:tcPr>
            <w:tcW w:type="dxa" w:w="3289"/>
          </w:tcPr>
          <w:p>
            <w:r/>
            <w:r>
              <w:rPr>
                <w:rFonts w:ascii="Calibri" w:hAnsi="Calibri" w:cs="Calibri" w:eastAsia="Calibri"/>
                <w:b w:val="0"/>
                <w:i w:val="0"/>
                <w:color w:val="33404D"/>
                <w:sz w:val="19"/>
              </w:rPr>
              <w:t>M2M first invoice sent and Jam for Linux delivered; user confirms formal $7K/month MRR.</w:t>
            </w:r>
          </w:p>
        </w:tc>
        <w:tc>
          <w:tcPr>
            <w:tcW w:type="dxa" w:w="3289"/>
          </w:tcPr>
          <w:p>
            <w:r/>
            <w:r>
              <w:rPr>
                <w:rFonts w:ascii="Calibri" w:hAnsi="Calibri" w:cs="Calibri" w:eastAsia="Calibri"/>
                <w:b w:val="0"/>
                <w:i w:val="0"/>
                <w:color w:val="33404D"/>
                <w:sz w:val="19"/>
              </w:rPr>
              <w:t>Use as formal MRR and customer revenue validation.</w:t>
            </w:r>
          </w:p>
        </w:tc>
      </w:tr>
      <w:tr>
        <w:tc>
          <w:tcPr>
            <w:tcW w:type="dxa" w:w="3289"/>
          </w:tcPr>
          <w:p>
            <w:r/>
            <w:r>
              <w:rPr>
                <w:rFonts w:ascii="Calibri" w:hAnsi="Calibri" w:cs="Calibri" w:eastAsia="Calibri"/>
                <w:b w:val="0"/>
                <w:i w:val="0"/>
                <w:color w:val="33404D"/>
                <w:sz w:val="19"/>
              </w:rPr>
              <w:t>April 2026 backup-tier 100× rsync benchmark recording</w:t>
            </w:r>
          </w:p>
        </w:tc>
        <w:tc>
          <w:tcPr>
            <w:tcW w:type="dxa" w:w="3289"/>
          </w:tcPr>
          <w:p>
            <w:r/>
            <w:r>
              <w:rPr>
                <w:rFonts w:ascii="Calibri" w:hAnsi="Calibri" w:cs="Calibri" w:eastAsia="Calibri"/>
                <w:b w:val="0"/>
                <w:i w:val="0"/>
                <w:color w:val="33404D"/>
                <w:sz w:val="19"/>
              </w:rPr>
              <w:t>Cithorum live test on backup-tier corpus; rsync as comparator; ≈100× compression observed.</w:t>
            </w:r>
          </w:p>
        </w:tc>
        <w:tc>
          <w:tcPr>
            <w:tcW w:type="dxa" w:w="3289"/>
          </w:tcPr>
          <w:p>
            <w:r/>
            <w:r>
              <w:rPr>
                <w:rFonts w:ascii="Calibri" w:hAnsi="Calibri" w:cs="Calibri" w:eastAsia="Calibri"/>
                <w:b w:val="0"/>
                <w:i w:val="0"/>
                <w:color w:val="33404D"/>
                <w:sz w:val="19"/>
              </w:rPr>
              <w:t>Use as backup-tier benchmark; do not extend to mixed enterprise workloads.</w:t>
            </w:r>
          </w:p>
        </w:tc>
      </w:tr>
    </w:tbl>
    <w:p>
      <w:pPr>
        <w:spacing w:before="280" w:after="80"/>
      </w:pPr>
      <w:r>
        <w:rPr>
          <w:rFonts w:ascii="Calibri" w:hAnsi="Calibri" w:cs="Calibri" w:eastAsia="Calibri"/>
          <w:b/>
          <w:i w:val="0"/>
          <w:color w:val="0B3A5B"/>
          <w:sz w:val="30"/>
        </w:rPr>
        <w:t>7. Minimal Safe Investor Language</w:t>
      </w:r>
    </w:p>
    <w:p>
      <w:pPr>
        <w:spacing w:after="80"/>
      </w:pPr>
      <w:r>
        <w:rPr>
          <w:rFonts w:ascii="Calibri" w:hAnsi="Calibri" w:cs="Calibri" w:eastAsia="Calibri"/>
          <w:b w:val="0"/>
          <w:i w:val="0"/>
          <w:sz w:val="21"/>
        </w:rPr>
        <w:t>Jam is a software data plane that reduces storage, bandwidth, and I/O waste for large changing datasets. The canonical April 2026 source pack supports a benchmark envelope of up to 100× reduction on sparse / highly compressible payloads and 35–75% typical reduction across mixed workloads, with a reproducible 64 TB benchmark methodology. On backup-tier workloads specifically, the April 2026 live test against rsync as the comparator showed ≈100× compression (123 GB → 1.18 GB; recording at videopress.com/v/w4Z0jvUC). Jam uses content-addressed immutable objects, quorum replication, authenticated transport, and deterministic key derivation so session keys are derived on demand rather than stored at rest. Historical trials include Atreides IO, InterDigital, and SwissVault; the strongest named genomics proof is SwissVault, where Jam produced 12% smaller FASTQ DNA sequences and a user-confirmed 22-minute alignment path versus 2.5 hours for the next closest state-of-the-art aligner. Commercial validation includes M2M Tech Connect as a formal paying client of Cithorum (Canada) at $7K/month MRR, NVIDIA Inception membership, RTX/Supplier.io profile approval, and UNITE-Brave NATO portal access. Cithorum is SOC 2 compliant; ISO 27001, ISO 27701, HIPAA, PCI-DSS, RBI, CERT-In, MeitY, and DPDP are listed as aligned (control mapping available).</w:t>
      </w:r>
    </w:p>
    <w:p>
      <w:pPr>
        <w:spacing w:before="280" w:after="80"/>
      </w:pPr>
      <w:r>
        <w:rPr>
          <w:rFonts w:ascii="Calibri" w:hAnsi="Calibri" w:cs="Calibri" w:eastAsia="Calibri"/>
          <w:b/>
          <w:i w:val="0"/>
          <w:color w:val="0B3A5B"/>
          <w:sz w:val="30"/>
        </w:rPr>
        <w:t>Source Boundary</w:t>
      </w:r>
    </w:p>
    <w:p>
      <w:pPr>
        <w:spacing w:after="80"/>
      </w:pPr>
      <w:r>
        <w:rPr>
          <w:rFonts w:ascii="Calibri" w:hAnsi="Calibri" w:cs="Calibri" w:eastAsia="Calibri"/>
          <w:b w:val="0"/>
          <w:i w:val="0"/>
          <w:sz w:val="21"/>
        </w:rPr>
        <w:t>These documents draw on the canonical Jam source archive maintained by Cithorum. They do not invent new performance numbers. Where a claim comes from an older deck rather than the April 2026 canonical source pack, it is labelled as historical, trial-derived, or requiring formal benchmark attachment before external publication.</w:t>
      </w:r>
    </w:p>
    <w:p>
      <w:pPr>
        <w:pStyle w:val="ListBullet"/>
        <w:spacing w:after="40"/>
      </w:pPr>
      <w:r>
        <w:rPr>
          <w:rFonts w:ascii="Calibri" w:hAnsi="Calibri" w:cs="Calibri" w:eastAsia="Calibri"/>
          <w:b w:val="0"/>
          <w:i w:val="0"/>
          <w:sz w:val="21"/>
        </w:rPr>
        <w:t>Cithorum Reworked-v2 MASTER-REFERENCE.md (April 17, 2026)</w:t>
      </w:r>
    </w:p>
    <w:p>
      <w:pPr>
        <w:pStyle w:val="ListBullet"/>
        <w:spacing w:after="40"/>
      </w:pPr>
      <w:r>
        <w:rPr>
          <w:rFonts w:ascii="Calibri" w:hAnsi="Calibri" w:cs="Calibri" w:eastAsia="Calibri"/>
          <w:b w:val="0"/>
          <w:i w:val="0"/>
          <w:sz w:val="21"/>
        </w:rPr>
        <w:t>Jam-Networked-Storage.docx, v2.1, April 2026</w:t>
      </w:r>
    </w:p>
    <w:p>
      <w:pPr>
        <w:pStyle w:val="ListBullet"/>
        <w:spacing w:after="40"/>
      </w:pPr>
      <w:r>
        <w:rPr>
          <w:rFonts w:ascii="Calibri" w:hAnsi="Calibri" w:cs="Calibri" w:eastAsia="Calibri"/>
          <w:b w:val="0"/>
          <w:i w:val="0"/>
          <w:sz w:val="21"/>
        </w:rPr>
        <w:t>Jam-Standard-Library.docx, v2.1, April 2026</w:t>
      </w:r>
    </w:p>
    <w:p>
      <w:pPr>
        <w:pStyle w:val="ListBullet"/>
        <w:spacing w:after="40"/>
      </w:pPr>
      <w:r>
        <w:rPr>
          <w:rFonts w:ascii="Calibri" w:hAnsi="Calibri" w:cs="Calibri" w:eastAsia="Calibri"/>
          <w:b w:val="0"/>
          <w:i w:val="0"/>
          <w:sz w:val="21"/>
        </w:rPr>
        <w:t>Jam-MITM-Hardness.docx, v2.1, April 2026</w:t>
      </w:r>
    </w:p>
    <w:p>
      <w:pPr>
        <w:pStyle w:val="ListBullet"/>
        <w:spacing w:after="40"/>
      </w:pPr>
      <w:r>
        <w:rPr>
          <w:rFonts w:ascii="Calibri" w:hAnsi="Calibri" w:cs="Calibri" w:eastAsia="Calibri"/>
          <w:b w:val="0"/>
          <w:i w:val="0"/>
          <w:sz w:val="21"/>
        </w:rPr>
        <w:t>Jam-Installation-Guide.docx, v2.1, April 2026</w:t>
      </w:r>
    </w:p>
    <w:p>
      <w:pPr>
        <w:pStyle w:val="ListBullet"/>
        <w:spacing w:after="40"/>
      </w:pPr>
      <w:r>
        <w:rPr>
          <w:rFonts w:ascii="Calibri" w:hAnsi="Calibri" w:cs="Calibri" w:eastAsia="Calibri"/>
          <w:b w:val="0"/>
          <w:i w:val="0"/>
          <w:sz w:val="21"/>
        </w:rPr>
        <w:t>Jam-SaaS-Archiver.docx, v2.1, April 2026</w:t>
      </w:r>
    </w:p>
    <w:p>
      <w:pPr>
        <w:pStyle w:val="ListBullet"/>
        <w:spacing w:after="40"/>
      </w:pPr>
      <w:r>
        <w:rPr>
          <w:rFonts w:ascii="Calibri" w:hAnsi="Calibri" w:cs="Calibri" w:eastAsia="Calibri"/>
          <w:b w:val="0"/>
          <w:i w:val="0"/>
          <w:sz w:val="21"/>
        </w:rPr>
        <w:t>Cithorum-Scale-AI-Scope-Requirements.docx, v2.1, April 2026</w:t>
      </w:r>
    </w:p>
    <w:p>
      <w:pPr>
        <w:pStyle w:val="ListBullet"/>
        <w:spacing w:after="40"/>
      </w:pPr>
      <w:r>
        <w:rPr>
          <w:rFonts w:ascii="Calibri" w:hAnsi="Calibri" w:cs="Calibri" w:eastAsia="Calibri"/>
          <w:b w:val="0"/>
          <w:i w:val="0"/>
          <w:sz w:val="21"/>
        </w:rPr>
        <w:t>Cithorum-Licensing-Proposal.docx, v2.1, April 2026</w:t>
      </w:r>
    </w:p>
    <w:p>
      <w:pPr>
        <w:pStyle w:val="ListBullet"/>
        <w:spacing w:after="40"/>
      </w:pPr>
      <w:r>
        <w:rPr>
          <w:rFonts w:ascii="Calibri" w:hAnsi="Calibri" w:cs="Calibri" w:eastAsia="Calibri"/>
          <w:b w:val="0"/>
          <w:i w:val="0"/>
          <w:sz w:val="21"/>
        </w:rPr>
        <w:t>Cithorum-M2M-TechConnect-SLA.docx, v2.1, April 2026</w:t>
      </w:r>
    </w:p>
    <w:p>
      <w:pPr>
        <w:pStyle w:val="ListBullet"/>
        <w:spacing w:after="40"/>
      </w:pPr>
      <w:r>
        <w:rPr>
          <w:rFonts w:ascii="Calibri" w:hAnsi="Calibri" w:cs="Calibri" w:eastAsia="Calibri"/>
          <w:b w:val="0"/>
          <w:i w:val="0"/>
          <w:sz w:val="21"/>
        </w:rPr>
        <w:t>Jam-Showcase.html, Reworked-v2 commercial showcase</w:t>
      </w:r>
    </w:p>
    <w:p>
      <w:pPr>
        <w:pStyle w:val="ListBullet"/>
        <w:spacing w:after="40"/>
      </w:pPr>
      <w:r>
        <w:rPr>
          <w:rFonts w:ascii="Calibri" w:hAnsi="Calibri" w:cs="Calibri" w:eastAsia="Calibri"/>
          <w:b w:val="0"/>
          <w:i w:val="0"/>
          <w:sz w:val="21"/>
        </w:rPr>
        <w:t>Cithorum Jam Company Deck.pdf, May 2025</w:t>
      </w:r>
    </w:p>
    <w:p>
      <w:pPr>
        <w:pStyle w:val="ListBullet"/>
        <w:spacing w:after="40"/>
      </w:pPr>
      <w:r>
        <w:rPr>
          <w:rFonts w:ascii="Calibri" w:hAnsi="Calibri" w:cs="Calibri" w:eastAsia="Calibri"/>
          <w:b w:val="0"/>
          <w:i w:val="0"/>
          <w:sz w:val="21"/>
        </w:rPr>
        <w:t>JAM - Legacy Deck.pdf, November 2024</w:t>
      </w:r>
    </w:p>
    <w:p>
      <w:pPr>
        <w:pStyle w:val="ListBullet"/>
        <w:spacing w:after="40"/>
      </w:pPr>
      <w:r>
        <w:rPr>
          <w:rFonts w:ascii="Calibri" w:hAnsi="Calibri" w:cs="Calibri" w:eastAsia="Calibri"/>
          <w:b w:val="0"/>
          <w:i w:val="0"/>
          <w:sz w:val="21"/>
        </w:rPr>
        <w:t>Direct user-supplied SwissVault/Ubuntu benchmark note, April 25, 2026</w:t>
      </w:r>
    </w:p>
    <w:p>
      <w:pPr>
        <w:pStyle w:val="ListBullet"/>
        <w:spacing w:after="40"/>
      </w:pPr>
      <w:r>
        <w:rPr>
          <w:rFonts w:ascii="Calibri" w:hAnsi="Calibri" w:cs="Calibri" w:eastAsia="Calibri"/>
          <w:b w:val="0"/>
          <w:i w:val="0"/>
          <w:sz w:val="21"/>
        </w:rPr>
        <w:t>M2M Partnership Proposal email thread PDF, April 28-29, 2026</w:t>
      </w:r>
    </w:p>
    <w:p>
      <w:pPr>
        <w:pStyle w:val="ListBullet"/>
        <w:spacing w:after="40"/>
      </w:pPr>
      <w:r>
        <w:rPr>
          <w:rFonts w:ascii="Calibri" w:hAnsi="Calibri" w:cs="Calibri" w:eastAsia="Calibri"/>
          <w:b w:val="0"/>
          <w:i w:val="0"/>
          <w:sz w:val="21"/>
        </w:rPr>
        <w:t>M2M Tech Connect formal $7K/month MRR confirmed by user, April 29, 2026; Lucas screenshot confirms first invoice sent and Jam for Linux delivered</w:t>
      </w:r>
    </w:p>
    <w:p>
      <w:pPr>
        <w:pStyle w:val="ListBullet"/>
        <w:spacing w:after="40"/>
      </w:pPr>
      <w:r>
        <w:rPr>
          <w:rFonts w:ascii="Calibri" w:hAnsi="Calibri" w:cs="Calibri" w:eastAsia="Calibri"/>
          <w:b w:val="0"/>
          <w:i w:val="0"/>
          <w:sz w:val="21"/>
        </w:rPr>
        <w:t>RTX / Supplier.io profile acceptance email PDF, April 29, 2026</w:t>
      </w:r>
    </w:p>
    <w:p>
      <w:pPr>
        <w:pStyle w:val="ListBullet"/>
        <w:spacing w:after="40"/>
      </w:pPr>
      <w:r>
        <w:rPr>
          <w:rFonts w:ascii="Calibri" w:hAnsi="Calibri" w:cs="Calibri" w:eastAsia="Calibri"/>
          <w:b w:val="0"/>
          <w:i w:val="0"/>
          <w:sz w:val="21"/>
        </w:rPr>
        <w:t>UNITE-Brave NATO portal email from NATO Communications and Information Agency PDF, April 29, 2026</w:t>
      </w:r>
    </w:p>
    <w:p>
      <w:pPr>
        <w:pStyle w:val="ListBullet"/>
        <w:spacing w:after="40"/>
      </w:pPr>
      <w:r>
        <w:rPr>
          <w:rFonts w:ascii="Calibri" w:hAnsi="Calibri" w:cs="Calibri" w:eastAsia="Calibri"/>
          <w:b w:val="0"/>
          <w:i w:val="0"/>
          <w:sz w:val="21"/>
        </w:rPr>
        <w:t>NVIDIA Inception reception invitation email PDF, April 29, 2026</w:t>
      </w:r>
    </w:p>
    <w:p>
      <w:pPr>
        <w:pStyle w:val="ListBullet"/>
        <w:spacing w:after="40"/>
      </w:pPr>
      <w:r>
        <w:rPr>
          <w:rFonts w:ascii="Calibri" w:hAnsi="Calibri" w:cs="Calibri" w:eastAsia="Calibri"/>
          <w:b w:val="0"/>
          <w:i w:val="0"/>
          <w:sz w:val="21"/>
        </w:rPr>
        <w:t>Cithorum + Jam backup-tier 100× rsync benchmark, April 2026 (recording: videopress.com/v/w4Z0jvUC)</w:t>
      </w:r>
    </w:p>
    <w:sectPr w:rsidR="00FC693F" w:rsidRPr="0006063C" w:rsidSect="00034616">
      <w:headerReference w:type="default" r:id="rId9"/>
      <w:footerReference w:type="default" r:id="rId10"/>
      <w:pgSz w:w="11906" w:h="16838"/>
      <w:pgMar w:top="1247" w:right="1020" w:bottom="1361"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s="Calibri" w:eastAsia="Calibri"/>
        <w:b w:val="0"/>
        <w:i w:val="0"/>
        <w:color w:val="5B6B77"/>
        <w:sz w:val="15"/>
      </w:rPr>
      <w:t>Cithorum operates as a brand across three legal entities — a European parent, Cithorum (India), and Cithorum (Canada). Cithorum (India) is registered as an MSE under the Udyam programme. Indian entity legal designation pending ROC filing — Q2 2026.</w:t>
    </w:r>
  </w:p>
  <w:p>
    <w:pPr>
      <w:jc w:val="center"/>
    </w:pPr>
    <w:r>
      <w:rPr>
        <w:rFonts w:ascii="Calibri" w:hAnsi="Calibri" w:cs="Calibri" w:eastAsia="Calibri"/>
        <w:b w:val="0"/>
        <w:i w:val="0"/>
        <w:color w:val="5B6B77"/>
        <w:sz w:val="16"/>
      </w:rPr>
      <w:t>Cithorum · Confidential · May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s="Calibri" w:eastAsia="Calibri"/>
        <w:b/>
        <w:i w:val="0"/>
        <w:color w:val="0B3A5B"/>
        <w:sz w:val="17"/>
      </w:rPr>
      <w:t>CITHORUM   ·   Diligence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